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7B4C65D5" w:rsidR="000618FE" w:rsidRPr="00887F6D" w:rsidRDefault="005A1EFD" w:rsidP="007F098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AD47F4">
        <w:rPr>
          <w:rFonts w:ascii="Arial" w:hAnsi="Arial" w:cs="Arial"/>
        </w:rPr>
        <w:t xml:space="preserve"> </w:t>
      </w:r>
      <w:proofErr w:type="spellStart"/>
      <w:r w:rsidR="007F098D" w:rsidRPr="007F098D">
        <w:rPr>
          <w:rFonts w:ascii="Arial" w:hAnsi="Arial" w:cs="Arial"/>
        </w:rPr>
        <w:t>Penyediaan</w:t>
      </w:r>
      <w:proofErr w:type="spellEnd"/>
      <w:r w:rsidR="007F098D" w:rsidRPr="007F098D">
        <w:rPr>
          <w:rFonts w:ascii="Arial" w:hAnsi="Arial" w:cs="Arial"/>
        </w:rPr>
        <w:t xml:space="preserve"> pita </w:t>
      </w:r>
      <w:proofErr w:type="spellStart"/>
      <w:r w:rsidR="007F098D" w:rsidRPr="007F098D">
        <w:rPr>
          <w:rFonts w:ascii="Arial" w:hAnsi="Arial" w:cs="Arial"/>
        </w:rPr>
        <w:t>cukai</w:t>
      </w:r>
      <w:proofErr w:type="spellEnd"/>
      <w:r w:rsidR="007F098D" w:rsidRPr="007F098D">
        <w:rPr>
          <w:rFonts w:ascii="Arial" w:hAnsi="Arial" w:cs="Arial"/>
        </w:rPr>
        <w:t xml:space="preserve"> HT dan MMEA </w:t>
      </w:r>
      <w:proofErr w:type="spellStart"/>
      <w:r w:rsidR="007F098D" w:rsidRPr="007F098D">
        <w:rPr>
          <w:rFonts w:ascii="Arial" w:hAnsi="Arial" w:cs="Arial"/>
        </w:rPr>
        <w:t>Tambahan</w:t>
      </w:r>
      <w:proofErr w:type="spellEnd"/>
      <w:r w:rsidR="007F098D" w:rsidRPr="007F098D">
        <w:rPr>
          <w:rFonts w:ascii="Arial" w:hAnsi="Arial" w:cs="Arial"/>
        </w:rPr>
        <w:t xml:space="preserve"> </w:t>
      </w:r>
      <w:proofErr w:type="spellStart"/>
      <w:r w:rsidR="007F098D" w:rsidRPr="007F098D">
        <w:rPr>
          <w:rFonts w:ascii="Arial" w:hAnsi="Arial" w:cs="Arial"/>
        </w:rPr>
        <w:t>Izin</w:t>
      </w:r>
      <w:proofErr w:type="spellEnd"/>
      <w:r w:rsidR="007F098D" w:rsidRPr="007F098D">
        <w:rPr>
          <w:rFonts w:ascii="Arial" w:hAnsi="Arial" w:cs="Arial"/>
        </w:rPr>
        <w:t xml:space="preserve"> </w:t>
      </w:r>
      <w:proofErr w:type="spellStart"/>
      <w:r w:rsidR="007F098D" w:rsidRPr="007F098D">
        <w:rPr>
          <w:rFonts w:ascii="Arial" w:hAnsi="Arial" w:cs="Arial"/>
        </w:rPr>
        <w:t>Kepala</w:t>
      </w:r>
      <w:proofErr w:type="spellEnd"/>
      <w:r w:rsidR="007F098D" w:rsidRPr="007F098D">
        <w:rPr>
          <w:rFonts w:ascii="Arial" w:hAnsi="Arial" w:cs="Arial"/>
        </w:rPr>
        <w:t xml:space="preserve"> Kantor (P3C)</w:t>
      </w:r>
      <w:r w:rsidR="007F098D">
        <w:rPr>
          <w:rFonts w:ascii="Arial" w:hAnsi="Arial" w:cs="Arial"/>
        </w:rPr>
        <w:t xml:space="preserve"> </w:t>
      </w:r>
      <w:proofErr w:type="spellStart"/>
      <w:r w:rsidR="007F098D" w:rsidRPr="007F098D">
        <w:rPr>
          <w:rFonts w:ascii="Arial" w:hAnsi="Arial" w:cs="Arial"/>
        </w:rPr>
        <w:t>dengan</w:t>
      </w:r>
      <w:proofErr w:type="spellEnd"/>
      <w:r w:rsidR="007F098D" w:rsidRPr="007F098D">
        <w:rPr>
          <w:rFonts w:ascii="Arial" w:hAnsi="Arial" w:cs="Arial"/>
        </w:rPr>
        <w:t xml:space="preserve"> data </w:t>
      </w:r>
      <w:proofErr w:type="spellStart"/>
      <w:r w:rsidR="007F098D" w:rsidRPr="007F098D">
        <w:rPr>
          <w:rFonts w:ascii="Arial" w:hAnsi="Arial" w:cs="Arial"/>
        </w:rPr>
        <w:t>elektronik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1FF9EE79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51FAB">
        <w:rPr>
          <w:rFonts w:ascii="Arial" w:hAnsi="Arial" w:cs="Arial"/>
        </w:rPr>
        <w:t>4</w:t>
      </w:r>
      <w:r w:rsidR="007F098D">
        <w:rPr>
          <w:rFonts w:ascii="Arial" w:hAnsi="Arial" w:cs="Arial"/>
        </w:rPr>
        <w:t>4</w:t>
      </w:r>
    </w:p>
    <w:p w14:paraId="17D4A474" w14:textId="3C393207" w:rsidR="00111FE2" w:rsidRDefault="00AD1804" w:rsidP="00111F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C90B92" w:rsidRPr="00C90B92" w14:paraId="5D699386" w14:textId="77777777" w:rsidTr="003C7AFF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8BC22F" w14:textId="77777777" w:rsidR="00C90B92" w:rsidRPr="00C90B92" w:rsidRDefault="00C90B92" w:rsidP="00C90B92">
            <w:pPr>
              <w:rPr>
                <w:rFonts w:ascii="Arial" w:hAnsi="Arial" w:cs="Arial"/>
                <w:lang w:val="en-US"/>
              </w:rPr>
            </w:pPr>
            <w:r w:rsidRPr="00C90B92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A5443D" w14:textId="77777777" w:rsidR="00C90B92" w:rsidRPr="00C90B92" w:rsidRDefault="00C90B92" w:rsidP="00C90B92">
            <w:pPr>
              <w:rPr>
                <w:rFonts w:ascii="Arial" w:hAnsi="Arial" w:cs="Arial"/>
                <w:lang w:val="en-US"/>
              </w:rPr>
            </w:pPr>
            <w:r w:rsidRPr="00C90B92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37B6B7" w14:textId="77777777" w:rsidR="00C90B92" w:rsidRPr="00C90B92" w:rsidRDefault="00C90B92" w:rsidP="00C90B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0B92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3C7AFF" w:rsidRPr="00C90B92" w14:paraId="5ACCCD2F" w14:textId="77777777" w:rsidTr="003C7AFF">
        <w:trPr>
          <w:trHeight w:val="14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E10" w14:textId="77777777" w:rsidR="003C7AFF" w:rsidRPr="00C90B92" w:rsidRDefault="003C7AFF" w:rsidP="00C90B92">
            <w:pPr>
              <w:rPr>
                <w:rFonts w:ascii="Arial" w:hAnsi="Arial" w:cs="Arial"/>
                <w:lang w:val="en-US"/>
              </w:rPr>
            </w:pPr>
            <w:r w:rsidRPr="00C90B9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23F" w14:textId="77777777" w:rsidR="003C7AFF" w:rsidRPr="00C90B92" w:rsidRDefault="003C7AFF" w:rsidP="00C90B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0B92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3460AD7" w14:textId="77777777" w:rsidR="003C7AFF" w:rsidRPr="00C90B92" w:rsidRDefault="003C7AFF" w:rsidP="00C90B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0B92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651" w14:textId="77777777" w:rsidR="003C7AFF" w:rsidRPr="00C90B92" w:rsidRDefault="003C7AFF" w:rsidP="00C90B92">
            <w:pPr>
              <w:rPr>
                <w:rFonts w:ascii="Arial" w:hAnsi="Arial" w:cs="Arial"/>
                <w:lang w:val="en-US"/>
              </w:rPr>
            </w:pPr>
            <w:r w:rsidRPr="00C90B92">
              <w:rPr>
                <w:rFonts w:ascii="Arial" w:hAnsi="Arial" w:cs="Arial"/>
                <w:lang w:val="en-US"/>
              </w:rPr>
              <w:t xml:space="preserve">1.   P3C HT dan MMEA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hanya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oleh</w:t>
            </w:r>
          </w:p>
          <w:p w14:paraId="719F8B58" w14:textId="77777777" w:rsidR="003C7AFF" w:rsidRPr="00C90B92" w:rsidRDefault="003C7AFF" w:rsidP="00C90B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C90B92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BKC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C90B92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10B19879" w14:textId="77777777" w:rsidR="003C7AFF" w:rsidRPr="00C90B92" w:rsidRDefault="003C7AFF" w:rsidP="00C90B92">
            <w:pPr>
              <w:rPr>
                <w:rFonts w:ascii="Arial" w:hAnsi="Arial" w:cs="Arial"/>
                <w:lang w:val="en-US"/>
              </w:rPr>
            </w:pPr>
            <w:r w:rsidRPr="00C90B92">
              <w:rPr>
                <w:rFonts w:ascii="Arial" w:hAnsi="Arial" w:cs="Arial"/>
                <w:lang w:val="en-US"/>
              </w:rPr>
              <w:t>a.</w:t>
            </w:r>
            <w:r w:rsidRPr="00C90B92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C90B92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memiliki</w:t>
            </w:r>
            <w:proofErr w:type="spellEnd"/>
            <w:proofErr w:type="gramEnd"/>
            <w:r w:rsidRPr="00C90B9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C90B92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Pokok</w:t>
            </w:r>
            <w:proofErr w:type="spellEnd"/>
            <w:proofErr w:type="gramEnd"/>
            <w:r w:rsidRPr="00C90B9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C90B92">
              <w:rPr>
                <w:rFonts w:ascii="Arial" w:hAnsi="Arial" w:cs="Arial"/>
                <w:lang w:val="en-US"/>
              </w:rPr>
              <w:t>Barang  Kena</w:t>
            </w:r>
            <w:proofErr w:type="gramEnd"/>
            <w:r w:rsidRPr="00C90B9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C90B9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 (NPPBKC)  dan</w:t>
            </w:r>
            <w:proofErr w:type="gramEnd"/>
            <w:r w:rsidRPr="00C90B92">
              <w:rPr>
                <w:rFonts w:ascii="Arial" w:hAnsi="Arial" w:cs="Arial"/>
                <w:lang w:val="en-US"/>
              </w:rPr>
              <w:t xml:space="preserve"> NPPBKC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keadaan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dibekukan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>;</w:t>
            </w:r>
          </w:p>
          <w:p w14:paraId="08330F62" w14:textId="77777777" w:rsidR="003C7AFF" w:rsidRPr="00C90B92" w:rsidRDefault="003C7AFF" w:rsidP="00C90B92">
            <w:pPr>
              <w:rPr>
                <w:rFonts w:ascii="Arial" w:hAnsi="Arial" w:cs="Arial"/>
                <w:lang w:val="en-US"/>
              </w:rPr>
            </w:pPr>
            <w:r w:rsidRPr="00C90B92">
              <w:rPr>
                <w:rFonts w:ascii="Arial" w:hAnsi="Arial" w:cs="Arial"/>
                <w:lang w:val="en-US"/>
              </w:rPr>
              <w:t>b.</w:t>
            </w:r>
            <w:r w:rsidRPr="00C90B9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masih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merek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pada P3C</w:t>
            </w:r>
          </w:p>
          <w:p w14:paraId="78203214" w14:textId="77777777" w:rsidR="003C7AFF" w:rsidRPr="00C90B92" w:rsidRDefault="003C7AFF" w:rsidP="00C90B92">
            <w:pPr>
              <w:rPr>
                <w:rFonts w:ascii="Arial" w:hAnsi="Arial" w:cs="Arial"/>
                <w:lang w:val="en-US"/>
              </w:rPr>
            </w:pPr>
            <w:r w:rsidRPr="00C90B92">
              <w:rPr>
                <w:rFonts w:ascii="Arial" w:hAnsi="Arial" w:cs="Arial"/>
                <w:lang w:val="en-US"/>
              </w:rPr>
              <w:t>c.</w:t>
            </w:r>
            <w:r w:rsidRPr="00C90B92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C90B92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memiliki</w:t>
            </w:r>
            <w:proofErr w:type="spellEnd"/>
            <w:proofErr w:type="gramEnd"/>
            <w:r w:rsidRPr="00C90B92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C90B92">
              <w:rPr>
                <w:rFonts w:ascii="Arial" w:hAnsi="Arial" w:cs="Arial"/>
                <w:lang w:val="en-US"/>
              </w:rPr>
              <w:t xml:space="preserve">utang 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C90B92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C90B92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tidak</w:t>
            </w:r>
            <w:proofErr w:type="spellEnd"/>
            <w:proofErr w:type="gram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dibayar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  pada   </w:t>
            </w:r>
            <w:proofErr w:type="spellStart"/>
            <w:proofErr w:type="gramStart"/>
            <w:r w:rsidRPr="00C90B92">
              <w:rPr>
                <w:rFonts w:ascii="Arial" w:hAnsi="Arial" w:cs="Arial"/>
                <w:lang w:val="en-US"/>
              </w:rPr>
              <w:t>waktunya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C90B92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>, dan/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sanksi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denda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dibayar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90B92">
              <w:rPr>
                <w:rFonts w:ascii="Arial" w:hAnsi="Arial" w:cs="Arial"/>
                <w:lang w:val="en-US"/>
              </w:rPr>
              <w:t>jatuh</w:t>
            </w:r>
            <w:proofErr w:type="spellEnd"/>
            <w:r w:rsidRPr="00C90B92">
              <w:rPr>
                <w:rFonts w:ascii="Arial" w:hAnsi="Arial" w:cs="Arial"/>
                <w:lang w:val="en-US"/>
              </w:rPr>
              <w:t xml:space="preserve"> tempo;</w:t>
            </w:r>
          </w:p>
          <w:p w14:paraId="062E1371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d.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melunasi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pengganti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penyediaan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; dan/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30AC985D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e.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dugaan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pidana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salah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di lingkungan DJBC</w:t>
            </w:r>
          </w:p>
          <w:p w14:paraId="685DF81B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2.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HT   dan   MMEA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Awal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mencukupi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.</w:t>
            </w:r>
          </w:p>
          <w:p w14:paraId="78041938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</w:t>
            </w:r>
          </w:p>
          <w:p w14:paraId="50486B62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 xml:space="preserve">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paling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lambat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25 (dua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lima) pada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berikutnya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Awal</w:t>
            </w:r>
          </w:p>
          <w:p w14:paraId="054C7A21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4.</w:t>
            </w:r>
            <w:r w:rsidRPr="003C7AFF">
              <w:rPr>
                <w:rFonts w:ascii="Arial" w:hAnsi="Arial" w:cs="Arial"/>
                <w:lang w:val="en-US"/>
              </w:rPr>
              <w:tab/>
              <w:t>P3</w:t>
            </w:r>
            <w:proofErr w:type="gramStart"/>
            <w:r w:rsidRPr="003C7AFF">
              <w:rPr>
                <w:rFonts w:ascii="Arial" w:hAnsi="Arial" w:cs="Arial"/>
                <w:lang w:val="en-US"/>
              </w:rPr>
              <w:t>C  HT</w:t>
            </w:r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C7AFF">
              <w:rPr>
                <w:rFonts w:ascii="Arial" w:hAnsi="Arial" w:cs="Arial"/>
                <w:lang w:val="en-US"/>
              </w:rPr>
              <w:t>dan  MMEA</w:t>
            </w:r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Jenis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kali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persediaan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.</w:t>
            </w:r>
          </w:p>
          <w:p w14:paraId="61F5EA33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5.</w:t>
            </w:r>
            <w:r w:rsidRPr="003C7AFF">
              <w:rPr>
                <w:rFonts w:ascii="Arial" w:hAnsi="Arial" w:cs="Arial"/>
                <w:lang w:val="en-US"/>
              </w:rPr>
              <w:tab/>
              <w:t xml:space="preserve">Jenis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pada P3C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Jenis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pada P3C HT dan MMEA Awal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.</w:t>
            </w:r>
          </w:p>
          <w:p w14:paraId="322698CB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6.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gramStart"/>
            <w:r w:rsidRPr="003C7AFF">
              <w:rPr>
                <w:rFonts w:ascii="Arial" w:hAnsi="Arial" w:cs="Arial"/>
                <w:lang w:val="en-US"/>
              </w:rPr>
              <w:t xml:space="preserve">Pita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C7AFF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diajukan</w:t>
            </w:r>
            <w:proofErr w:type="spellEnd"/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C7AFF">
              <w:rPr>
                <w:rFonts w:ascii="Arial" w:hAnsi="Arial" w:cs="Arial"/>
                <w:lang w:val="en-US"/>
              </w:rPr>
              <w:t xml:space="preserve">oleh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Pengusaha</w:t>
            </w:r>
            <w:proofErr w:type="spellEnd"/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Jenis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kebutuhan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.</w:t>
            </w:r>
          </w:p>
          <w:p w14:paraId="0DC07DAA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7.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gramStart"/>
            <w:r w:rsidRPr="003C7AFF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C7AFF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pita</w:t>
            </w:r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kurang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10 (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10 (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lembar</w:t>
            </w:r>
            <w:proofErr w:type="spellEnd"/>
          </w:p>
          <w:p w14:paraId="29E1E9A3" w14:textId="2CA19509" w:rsidR="003C7AFF" w:rsidRPr="00C90B92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8.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Pembulatan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Awal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cara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membulatkan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bawah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kelipatan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10 (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).</w:t>
            </w:r>
          </w:p>
        </w:tc>
      </w:tr>
      <w:tr w:rsidR="004D414E" w14:paraId="6D8719A9" w14:textId="77777777" w:rsidTr="0075492A">
        <w:trPr>
          <w:trHeight w:val="6794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1EF5334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557E1AF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AFF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779D0B7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1.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mengisi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format P3C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portal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pengguna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jasa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.</w:t>
            </w:r>
          </w:p>
          <w:p w14:paraId="43A8A16E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2.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menyebabkan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oleh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MMEA;</w:t>
            </w:r>
          </w:p>
          <w:p w14:paraId="3745D580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3.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dilengkapi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mengirimkan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data P3C HT dan MMEA</w:t>
            </w:r>
          </w:p>
          <w:p w14:paraId="0D1C4F7E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4.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Bea     dan  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profil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risiko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HT dan MMEA</w:t>
            </w:r>
          </w:p>
          <w:p w14:paraId="12224CE6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5.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disetujui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berisi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disetujui</w:t>
            </w:r>
            <w:proofErr w:type="spellEnd"/>
          </w:p>
          <w:p w14:paraId="48ECC8E7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dari</w:t>
            </w:r>
            <w:proofErr w:type="spellEnd"/>
          </w:p>
          <w:p w14:paraId="3EE42C58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AFF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form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</w:t>
            </w:r>
          </w:p>
          <w:p w14:paraId="5286116C" w14:textId="77777777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dan MMEA</w:t>
            </w:r>
          </w:p>
          <w:p w14:paraId="6748C3A9" w14:textId="7C5733D2" w:rsidR="004D414E" w:rsidRPr="003C7AFF" w:rsidRDefault="004D414E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7.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pendaftaran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MMEA.</w:t>
            </w:r>
          </w:p>
        </w:tc>
      </w:tr>
      <w:tr w:rsidR="003C7AFF" w14:paraId="7D156BC2" w14:textId="77777777" w:rsidTr="004D414E">
        <w:trPr>
          <w:trHeight w:hRule="exact" w:val="114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27AB4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3052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AFF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Waktu</w:t>
            </w:r>
          </w:p>
          <w:p w14:paraId="00CC86F8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AFF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28F04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AFF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ini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5 (lima)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P3C HT dan MMEA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.</w:t>
            </w:r>
          </w:p>
        </w:tc>
      </w:tr>
      <w:tr w:rsidR="003C7AFF" w14:paraId="2E4E57E4" w14:textId="77777777" w:rsidTr="004D414E">
        <w:trPr>
          <w:trHeight w:hRule="exact" w:val="41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3FEF1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3AFF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AFF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BFB24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3C7AFF" w14:paraId="1ABE4212" w14:textId="77777777" w:rsidTr="004D414E">
        <w:trPr>
          <w:trHeight w:hRule="exact" w:val="5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E8811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BD89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AFF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1DD93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 xml:space="preserve">P3C yang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pendaftaran</w:t>
            </w:r>
            <w:proofErr w:type="spellEnd"/>
          </w:p>
        </w:tc>
      </w:tr>
      <w:tr w:rsidR="003C7AFF" w14:paraId="65410D59" w14:textId="77777777" w:rsidTr="004D414E">
        <w:trPr>
          <w:trHeight w:hRule="exact" w:val="369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7513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06C8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AFF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A1F4B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1.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3C7AFF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3C7AFF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3C7AFF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6B1F44CE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2.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299F7465" w14:textId="77777777" w:rsidR="003C7AFF" w:rsidRPr="003C7AFF" w:rsidRDefault="003C7AFF" w:rsidP="003C7AFF">
            <w:pPr>
              <w:rPr>
                <w:rFonts w:ascii="Arial" w:hAnsi="Arial" w:cs="Arial"/>
                <w:lang w:val="en-US"/>
              </w:rPr>
            </w:pPr>
            <w:r w:rsidRPr="003C7AFF">
              <w:rPr>
                <w:rFonts w:ascii="Arial" w:hAnsi="Arial" w:cs="Arial"/>
                <w:lang w:val="en-US"/>
              </w:rPr>
              <w:t>3.</w:t>
            </w:r>
            <w:r w:rsidRPr="003C7AFF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3C7AF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3C7AFF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3C7AFF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C7AFF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3C7AFF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0550082F" w14:textId="09843F4A" w:rsidR="00AF7DD7" w:rsidRPr="003C7AFF" w:rsidRDefault="00AF7DD7">
      <w:pPr>
        <w:rPr>
          <w:rFonts w:ascii="Arial" w:hAnsi="Arial" w:cs="Arial"/>
        </w:rPr>
      </w:pPr>
    </w:p>
    <w:p w14:paraId="1BF221DC" w14:textId="1E5AD08F" w:rsidR="00AF7DD7" w:rsidRDefault="004D414E" w:rsidP="004D41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AF7DD7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9B9A" w14:textId="77777777" w:rsidR="00333CC0" w:rsidRDefault="00333CC0">
      <w:pPr>
        <w:spacing w:after="0" w:line="240" w:lineRule="auto"/>
      </w:pPr>
      <w:r>
        <w:separator/>
      </w:r>
    </w:p>
  </w:endnote>
  <w:endnote w:type="continuationSeparator" w:id="0">
    <w:p w14:paraId="2E84F27E" w14:textId="77777777" w:rsidR="00333CC0" w:rsidRDefault="0033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429F" w14:textId="77777777" w:rsidR="00333CC0" w:rsidRDefault="00333CC0">
      <w:pPr>
        <w:spacing w:after="0" w:line="240" w:lineRule="auto"/>
      </w:pPr>
      <w:r>
        <w:separator/>
      </w:r>
    </w:p>
  </w:footnote>
  <w:footnote w:type="continuationSeparator" w:id="0">
    <w:p w14:paraId="5F0D345E" w14:textId="77777777" w:rsidR="00333CC0" w:rsidRDefault="0033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66AD3"/>
    <w:multiLevelType w:val="hybridMultilevel"/>
    <w:tmpl w:val="C574AA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  <w:num w:numId="5" w16cid:durableId="186616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0FD8"/>
    <w:rsid w:val="00046614"/>
    <w:rsid w:val="00057E7D"/>
    <w:rsid w:val="000618FE"/>
    <w:rsid w:val="00081EE4"/>
    <w:rsid w:val="000837BB"/>
    <w:rsid w:val="000E0BA5"/>
    <w:rsid w:val="000F1168"/>
    <w:rsid w:val="00111FE2"/>
    <w:rsid w:val="00143DEB"/>
    <w:rsid w:val="001745BB"/>
    <w:rsid w:val="00195FEB"/>
    <w:rsid w:val="001A0988"/>
    <w:rsid w:val="001A0E32"/>
    <w:rsid w:val="001A284E"/>
    <w:rsid w:val="001A3606"/>
    <w:rsid w:val="001B05F8"/>
    <w:rsid w:val="001D3A75"/>
    <w:rsid w:val="00211065"/>
    <w:rsid w:val="00211752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33CC0"/>
    <w:rsid w:val="00345EEB"/>
    <w:rsid w:val="00355977"/>
    <w:rsid w:val="00361BD0"/>
    <w:rsid w:val="00384DD2"/>
    <w:rsid w:val="00386940"/>
    <w:rsid w:val="003A6F7D"/>
    <w:rsid w:val="003B1073"/>
    <w:rsid w:val="003B589D"/>
    <w:rsid w:val="003C7AFF"/>
    <w:rsid w:val="003D0D0E"/>
    <w:rsid w:val="003E590B"/>
    <w:rsid w:val="004224A4"/>
    <w:rsid w:val="00431741"/>
    <w:rsid w:val="00453ED6"/>
    <w:rsid w:val="00481D3F"/>
    <w:rsid w:val="00497645"/>
    <w:rsid w:val="004A233A"/>
    <w:rsid w:val="004B693E"/>
    <w:rsid w:val="004C010D"/>
    <w:rsid w:val="004C13DA"/>
    <w:rsid w:val="004D414E"/>
    <w:rsid w:val="004E3308"/>
    <w:rsid w:val="0052470B"/>
    <w:rsid w:val="005314AE"/>
    <w:rsid w:val="00540370"/>
    <w:rsid w:val="00543691"/>
    <w:rsid w:val="00556174"/>
    <w:rsid w:val="0057248B"/>
    <w:rsid w:val="00573D7A"/>
    <w:rsid w:val="00593D8E"/>
    <w:rsid w:val="005A1EFD"/>
    <w:rsid w:val="005A24B3"/>
    <w:rsid w:val="005B3322"/>
    <w:rsid w:val="00613FF3"/>
    <w:rsid w:val="006211DE"/>
    <w:rsid w:val="006245A9"/>
    <w:rsid w:val="00625249"/>
    <w:rsid w:val="00640B0E"/>
    <w:rsid w:val="00645529"/>
    <w:rsid w:val="0065017E"/>
    <w:rsid w:val="006627B1"/>
    <w:rsid w:val="00675373"/>
    <w:rsid w:val="006A52FA"/>
    <w:rsid w:val="006C378A"/>
    <w:rsid w:val="006D0809"/>
    <w:rsid w:val="006D48FF"/>
    <w:rsid w:val="006D643C"/>
    <w:rsid w:val="006F29AE"/>
    <w:rsid w:val="006F3626"/>
    <w:rsid w:val="00711567"/>
    <w:rsid w:val="00711B2D"/>
    <w:rsid w:val="00742F8F"/>
    <w:rsid w:val="007602EA"/>
    <w:rsid w:val="00791661"/>
    <w:rsid w:val="007B582D"/>
    <w:rsid w:val="007B7632"/>
    <w:rsid w:val="007E101E"/>
    <w:rsid w:val="007E4C2F"/>
    <w:rsid w:val="007F098D"/>
    <w:rsid w:val="007F7B99"/>
    <w:rsid w:val="00831686"/>
    <w:rsid w:val="00861FC1"/>
    <w:rsid w:val="00867438"/>
    <w:rsid w:val="008858C5"/>
    <w:rsid w:val="00887F6D"/>
    <w:rsid w:val="008A13DE"/>
    <w:rsid w:val="008A3EFE"/>
    <w:rsid w:val="008B1D18"/>
    <w:rsid w:val="008C4ACB"/>
    <w:rsid w:val="008C6953"/>
    <w:rsid w:val="008D4398"/>
    <w:rsid w:val="008F171B"/>
    <w:rsid w:val="00924F0C"/>
    <w:rsid w:val="00943548"/>
    <w:rsid w:val="00950755"/>
    <w:rsid w:val="00964402"/>
    <w:rsid w:val="00990EB8"/>
    <w:rsid w:val="009B531B"/>
    <w:rsid w:val="009D402A"/>
    <w:rsid w:val="00A05CBA"/>
    <w:rsid w:val="00A34D64"/>
    <w:rsid w:val="00A56CFE"/>
    <w:rsid w:val="00A67E48"/>
    <w:rsid w:val="00AD1804"/>
    <w:rsid w:val="00AD47F4"/>
    <w:rsid w:val="00AF7DD7"/>
    <w:rsid w:val="00B01330"/>
    <w:rsid w:val="00B94849"/>
    <w:rsid w:val="00BA7DA6"/>
    <w:rsid w:val="00BB48E5"/>
    <w:rsid w:val="00BB6FF3"/>
    <w:rsid w:val="00BF44D3"/>
    <w:rsid w:val="00C07891"/>
    <w:rsid w:val="00C308A6"/>
    <w:rsid w:val="00C35169"/>
    <w:rsid w:val="00C61F58"/>
    <w:rsid w:val="00C7524A"/>
    <w:rsid w:val="00C7575C"/>
    <w:rsid w:val="00C90B92"/>
    <w:rsid w:val="00CA61B4"/>
    <w:rsid w:val="00CB48EE"/>
    <w:rsid w:val="00CD713F"/>
    <w:rsid w:val="00D00BD1"/>
    <w:rsid w:val="00D272F9"/>
    <w:rsid w:val="00D51FAB"/>
    <w:rsid w:val="00D70EF8"/>
    <w:rsid w:val="00D87725"/>
    <w:rsid w:val="00D90D11"/>
    <w:rsid w:val="00D9265E"/>
    <w:rsid w:val="00DA0303"/>
    <w:rsid w:val="00DC353A"/>
    <w:rsid w:val="00DD6E92"/>
    <w:rsid w:val="00DE4457"/>
    <w:rsid w:val="00E22FFD"/>
    <w:rsid w:val="00E25352"/>
    <w:rsid w:val="00E54605"/>
    <w:rsid w:val="00E61849"/>
    <w:rsid w:val="00E73783"/>
    <w:rsid w:val="00E74EEA"/>
    <w:rsid w:val="00E87535"/>
    <w:rsid w:val="00EA50FF"/>
    <w:rsid w:val="00EA6AA0"/>
    <w:rsid w:val="00EB7DBC"/>
    <w:rsid w:val="00EE0732"/>
    <w:rsid w:val="00F00063"/>
    <w:rsid w:val="00F056D4"/>
    <w:rsid w:val="00F114F3"/>
    <w:rsid w:val="00F2070D"/>
    <w:rsid w:val="00F30630"/>
    <w:rsid w:val="00F66F0E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2025-07-11T05:42:00Z</dcterms:created>
  <dcterms:modified xsi:type="dcterms:W3CDTF">2025-08-07T02:14:00Z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