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5641E2E2" w:rsidR="000618FE" w:rsidRPr="002B36D7" w:rsidRDefault="005A1EFD" w:rsidP="0065017E">
      <w:pPr>
        <w:spacing w:after="0"/>
        <w:rPr>
          <w:rFonts w:ascii="Arial" w:hAnsi="Arial" w:cs="Arial"/>
          <w:lang w:val="en-US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5A24B3" w:rsidRPr="005A24B3">
        <w:rPr>
          <w:rFonts w:ascii="Arial" w:hAnsi="Arial" w:cs="Arial"/>
        </w:rPr>
        <w:t>Pelayanan</w:t>
      </w:r>
      <w:proofErr w:type="spellEnd"/>
      <w:r w:rsidR="005A24B3" w:rsidRPr="005A24B3">
        <w:rPr>
          <w:rFonts w:ascii="Arial" w:hAnsi="Arial" w:cs="Arial"/>
        </w:rPr>
        <w:t xml:space="preserve"> </w:t>
      </w:r>
      <w:proofErr w:type="spellStart"/>
      <w:r w:rsidR="005A24B3" w:rsidRPr="005A24B3">
        <w:rPr>
          <w:rFonts w:ascii="Arial" w:hAnsi="Arial" w:cs="Arial"/>
        </w:rPr>
        <w:t>Pengeluaran</w:t>
      </w:r>
      <w:proofErr w:type="spellEnd"/>
      <w:r w:rsidR="005A24B3" w:rsidRPr="005A24B3">
        <w:rPr>
          <w:rFonts w:ascii="Arial" w:hAnsi="Arial" w:cs="Arial"/>
        </w:rPr>
        <w:t xml:space="preserve"> Barang </w:t>
      </w:r>
      <w:proofErr w:type="spellStart"/>
      <w:r w:rsidR="005A24B3" w:rsidRPr="005A24B3">
        <w:rPr>
          <w:rFonts w:ascii="Arial" w:hAnsi="Arial" w:cs="Arial"/>
        </w:rPr>
        <w:t>Ekspor</w:t>
      </w:r>
      <w:proofErr w:type="spellEnd"/>
      <w:r w:rsidR="005A24B3" w:rsidRPr="005A24B3">
        <w:rPr>
          <w:rFonts w:ascii="Arial" w:hAnsi="Arial" w:cs="Arial"/>
        </w:rPr>
        <w:t xml:space="preserve"> yang </w:t>
      </w:r>
      <w:proofErr w:type="spellStart"/>
      <w:r w:rsidR="005A24B3" w:rsidRPr="005A24B3">
        <w:rPr>
          <w:rFonts w:ascii="Arial" w:hAnsi="Arial" w:cs="Arial"/>
        </w:rPr>
        <w:t>Dibawa</w:t>
      </w:r>
      <w:proofErr w:type="spellEnd"/>
      <w:r w:rsidR="005A24B3" w:rsidRPr="005A24B3">
        <w:rPr>
          <w:rFonts w:ascii="Arial" w:hAnsi="Arial" w:cs="Arial"/>
        </w:rPr>
        <w:t xml:space="preserve"> oleh </w:t>
      </w:r>
      <w:proofErr w:type="spellStart"/>
      <w:r w:rsidR="005A24B3" w:rsidRPr="005A24B3">
        <w:rPr>
          <w:rFonts w:ascii="Arial" w:hAnsi="Arial" w:cs="Arial"/>
        </w:rPr>
        <w:t>Pelintas</w:t>
      </w:r>
      <w:proofErr w:type="spellEnd"/>
      <w:r w:rsidR="005A24B3" w:rsidRPr="005A24B3">
        <w:rPr>
          <w:rFonts w:ascii="Arial" w:hAnsi="Arial" w:cs="Arial"/>
        </w:rPr>
        <w:t xml:space="preserve"> Batas</w:t>
      </w:r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2FC4BCB7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5017E">
        <w:rPr>
          <w:rFonts w:ascii="Arial" w:hAnsi="Arial" w:cs="Arial"/>
        </w:rPr>
        <w:t>2</w:t>
      </w:r>
      <w:r w:rsidR="005A24B3">
        <w:rPr>
          <w:rFonts w:ascii="Arial" w:hAnsi="Arial" w:cs="Arial"/>
        </w:rPr>
        <w:t>9</w:t>
      </w:r>
    </w:p>
    <w:p w14:paraId="283FD6A2" w14:textId="7F632603" w:rsidR="002A6F80" w:rsidRDefault="00AD1804" w:rsidP="002A6F8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gramStart"/>
      <w:r w:rsidRPr="00AD1804">
        <w:rPr>
          <w:rFonts w:ascii="Arial" w:hAnsi="Arial" w:cs="Arial"/>
        </w:rPr>
        <w:t>Komponen  Standar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 yang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terkait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dengan</w:t>
      </w:r>
      <w:proofErr w:type="spellEnd"/>
      <w:proofErr w:type="gramEnd"/>
      <w:r w:rsidRPr="00AD1804">
        <w:rPr>
          <w:rFonts w:ascii="Arial" w:hAnsi="Arial" w:cs="Arial"/>
        </w:rPr>
        <w:t xml:space="preserve">  </w:t>
      </w:r>
      <w:proofErr w:type="gramStart"/>
      <w:r w:rsidRPr="00AD1804">
        <w:rPr>
          <w:rFonts w:ascii="Arial" w:hAnsi="Arial" w:cs="Arial"/>
        </w:rPr>
        <w:t xml:space="preserve">proses  </w:t>
      </w:r>
      <w:proofErr w:type="spellStart"/>
      <w:r w:rsidRPr="00AD1804">
        <w:rPr>
          <w:rFonts w:ascii="Arial" w:hAnsi="Arial" w:cs="Arial"/>
        </w:rPr>
        <w:t>penyampaian</w:t>
      </w:r>
      <w:proofErr w:type="spellEnd"/>
      <w:proofErr w:type="gram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meliputi</w:t>
      </w:r>
      <w:proofErr w:type="spellEnd"/>
      <w:r w:rsidRPr="00AD1804">
        <w:rPr>
          <w:rFonts w:ascii="Arial" w:hAnsi="Arial" w:cs="Arial"/>
        </w:rPr>
        <w:t>:</w:t>
      </w:r>
    </w:p>
    <w:p w14:paraId="239D5749" w14:textId="77777777" w:rsidR="002A6F80" w:rsidRDefault="002A6F80" w:rsidP="002B36D7">
      <w:pPr>
        <w:spacing w:after="0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515"/>
      </w:tblGrid>
      <w:tr w:rsidR="005A24B3" w:rsidRPr="005A24B3" w14:paraId="021A9756" w14:textId="77777777" w:rsidTr="005A24B3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F584D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B45C8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Komponen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0F242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A24B3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5A24B3" w:rsidRPr="005A24B3" w14:paraId="4E75081A" w14:textId="77777777" w:rsidTr="005A24B3">
        <w:trPr>
          <w:trHeight w:hRule="exact" w:val="149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12C6B0C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0139D07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A24B3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7B7BF513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A24B3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75CA71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 xml:space="preserve">1.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pabean</w:t>
            </w:r>
            <w:proofErr w:type="spellEnd"/>
          </w:p>
          <w:p w14:paraId="0AE44AAA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 xml:space="preserve">2.   Pas Lintas Batas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Identitas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Warga Negara</w:t>
            </w:r>
          </w:p>
          <w:p w14:paraId="731107AA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Asing (WNA); dan/atau</w:t>
            </w:r>
          </w:p>
          <w:p w14:paraId="6F5FEF87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3.</w:t>
            </w:r>
            <w:r w:rsidRPr="005A24B3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pendukung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lainnya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diperlukan</w:t>
            </w:r>
            <w:proofErr w:type="spellEnd"/>
          </w:p>
        </w:tc>
      </w:tr>
      <w:tr w:rsidR="005A24B3" w:rsidRPr="005A24B3" w14:paraId="79C79D13" w14:textId="77777777" w:rsidTr="005A24B3">
        <w:trPr>
          <w:trHeight w:val="119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A33C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342C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A24B3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, Mekanisme Dan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DA37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1.</w:t>
            </w:r>
            <w:r w:rsidRPr="005A24B3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Pelintas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  Batas/WNA 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  Pas </w:t>
            </w:r>
            <w:proofErr w:type="gramStart"/>
            <w:r w:rsidRPr="005A24B3">
              <w:rPr>
                <w:rFonts w:ascii="Arial" w:hAnsi="Arial" w:cs="Arial"/>
                <w:lang w:val="en-US"/>
              </w:rPr>
              <w:t>Lintas  Batas</w:t>
            </w:r>
            <w:proofErr w:type="gram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5A24B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Dokumen</w:t>
            </w:r>
            <w:proofErr w:type="spellEnd"/>
            <w:proofErr w:type="gram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5A24B3">
              <w:rPr>
                <w:rFonts w:ascii="Arial" w:hAnsi="Arial" w:cs="Arial"/>
                <w:lang w:val="en-US"/>
              </w:rPr>
              <w:t>Identitas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dari</w:t>
            </w:r>
            <w:proofErr w:type="spellEnd"/>
            <w:proofErr w:type="gramEnd"/>
            <w:r w:rsidRPr="005A24B3">
              <w:rPr>
                <w:rFonts w:ascii="Arial" w:hAnsi="Arial" w:cs="Arial"/>
                <w:lang w:val="en-US"/>
              </w:rPr>
              <w:t xml:space="preserve"> WNA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beserta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pendukung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>.</w:t>
            </w:r>
          </w:p>
          <w:p w14:paraId="416D5908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 xml:space="preserve">2.   </w:t>
            </w:r>
            <w:proofErr w:type="spellStart"/>
            <w:proofErr w:type="gramStart"/>
            <w:r w:rsidRPr="005A24B3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Bea</w:t>
            </w:r>
            <w:proofErr w:type="gram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5A24B3">
              <w:rPr>
                <w:rFonts w:ascii="Arial" w:hAnsi="Arial" w:cs="Arial"/>
                <w:lang w:val="en-US"/>
              </w:rPr>
              <w:t xml:space="preserve">dan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Cukai</w:t>
            </w:r>
            <w:proofErr w:type="spellEnd"/>
            <w:proofErr w:type="gram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5A24B3">
              <w:rPr>
                <w:rFonts w:ascii="Arial" w:hAnsi="Arial" w:cs="Arial"/>
                <w:lang w:val="en-US"/>
              </w:rPr>
              <w:t>meneliti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Pas</w:t>
            </w:r>
            <w:proofErr w:type="gramEnd"/>
            <w:r w:rsidRPr="005A24B3">
              <w:rPr>
                <w:rFonts w:ascii="Arial" w:hAnsi="Arial" w:cs="Arial"/>
                <w:lang w:val="en-US"/>
              </w:rPr>
              <w:t xml:space="preserve">  Lintas</w:t>
            </w:r>
          </w:p>
          <w:p w14:paraId="1AFD54B6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 xml:space="preserve">Batas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Identitas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WNA:</w:t>
            </w:r>
          </w:p>
          <w:p w14:paraId="03A78491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a.</w:t>
            </w:r>
            <w:r w:rsidRPr="005A24B3">
              <w:rPr>
                <w:rFonts w:ascii="Arial" w:hAnsi="Arial" w:cs="Arial"/>
                <w:lang w:val="en-US"/>
              </w:rPr>
              <w:tab/>
              <w:t xml:space="preserve">Dalam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Pas Lintas Batas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melewati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masa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berlaku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meminta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Pelintas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Batas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perpanjangan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masa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berlaku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Pas Lintas Batas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Instansi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terkait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>.</w:t>
            </w:r>
          </w:p>
          <w:p w14:paraId="4C9555DD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b.</w:t>
            </w:r>
            <w:r w:rsidRPr="005A24B3">
              <w:rPr>
                <w:rFonts w:ascii="Arial" w:hAnsi="Arial" w:cs="Arial"/>
                <w:lang w:val="en-US"/>
              </w:rPr>
              <w:tab/>
              <w:t xml:space="preserve">Dalam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 Pas   Lintas   Batas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belum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melewati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masa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berlaku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meneliti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identitas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WNA,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meminta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Pelintas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Batas/WNA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lisan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>.</w:t>
            </w:r>
          </w:p>
          <w:p w14:paraId="180BD90D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proofErr w:type="gramStart"/>
            <w:r w:rsidRPr="005A24B3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Bea</w:t>
            </w:r>
            <w:proofErr w:type="gram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5A24B3">
              <w:rPr>
                <w:rFonts w:ascii="Arial" w:hAnsi="Arial" w:cs="Arial"/>
                <w:lang w:val="en-US"/>
              </w:rPr>
              <w:t xml:space="preserve">dan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Cukai</w:t>
            </w:r>
            <w:proofErr w:type="spellEnd"/>
            <w:proofErr w:type="gram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5A24B3">
              <w:rPr>
                <w:rFonts w:ascii="Arial" w:hAnsi="Arial" w:cs="Arial"/>
                <w:lang w:val="en-US"/>
              </w:rPr>
              <w:t>meminta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Pelintas</w:t>
            </w:r>
            <w:proofErr w:type="spellEnd"/>
            <w:proofErr w:type="gramEnd"/>
          </w:p>
          <w:p w14:paraId="1992926E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 xml:space="preserve">Batas/WNA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memisahkan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>:</w:t>
            </w:r>
          </w:p>
          <w:p w14:paraId="27083D1C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a.</w:t>
            </w:r>
            <w:r w:rsidRPr="005A24B3">
              <w:rPr>
                <w:rFonts w:ascii="Arial" w:hAnsi="Arial" w:cs="Arial"/>
                <w:lang w:val="en-US"/>
              </w:rPr>
              <w:tab/>
              <w:t xml:space="preserve">Barang yang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diperoleh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daerah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dibawa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keluar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daerah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dibawa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daerah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>; dan</w:t>
            </w:r>
          </w:p>
          <w:p w14:paraId="021D2907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b.</w:t>
            </w:r>
            <w:r w:rsidRPr="005A24B3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diperoleh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daerah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dibawa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daerah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>.</w:t>
            </w:r>
          </w:p>
          <w:p w14:paraId="33BB9A74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 xml:space="preserve">4.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Pelintas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 Batas/WNA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memisahkan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barang</w:t>
            </w:r>
            <w:proofErr w:type="spellEnd"/>
          </w:p>
          <w:p w14:paraId="3F2134BA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A24B3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dimintakan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Bea dan</w:t>
            </w:r>
          </w:p>
          <w:p w14:paraId="77F09337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A24B3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>.</w:t>
            </w:r>
          </w:p>
          <w:p w14:paraId="634CA867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5.</w:t>
            </w:r>
            <w:r w:rsidRPr="005A24B3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mencatat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nilai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dibawa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Pelintas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Batas/WNA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>:</w:t>
            </w:r>
          </w:p>
          <w:p w14:paraId="0EE56857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a.   SKP; atau</w:t>
            </w:r>
          </w:p>
          <w:p w14:paraId="11E07AD2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b.</w:t>
            </w:r>
            <w:r w:rsidRPr="005A24B3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buku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pas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lintas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batas,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belum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diterapkan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mengalami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gangguan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>.</w:t>
            </w:r>
          </w:p>
          <w:p w14:paraId="6BD47A04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6.</w:t>
            </w:r>
            <w:r w:rsidRPr="005A24B3">
              <w:rPr>
                <w:rFonts w:ascii="Arial" w:hAnsi="Arial" w:cs="Arial"/>
                <w:lang w:val="en-US"/>
              </w:rPr>
              <w:tab/>
            </w:r>
            <w:proofErr w:type="gramStart"/>
            <w:r w:rsidRPr="005A24B3">
              <w:rPr>
                <w:rFonts w:ascii="Arial" w:hAnsi="Arial" w:cs="Arial"/>
                <w:lang w:val="en-US"/>
              </w:rPr>
              <w:t xml:space="preserve">Dalam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5A24B3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diperlukan</w:t>
            </w:r>
            <w:proofErr w:type="spellEnd"/>
            <w:proofErr w:type="gram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>.</w:t>
            </w:r>
          </w:p>
          <w:p w14:paraId="5159E057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7.</w:t>
            </w:r>
            <w:r w:rsidRPr="005A24B3">
              <w:rPr>
                <w:rFonts w:ascii="Arial" w:hAnsi="Arial" w:cs="Arial"/>
                <w:lang w:val="en-US"/>
              </w:rPr>
              <w:tab/>
              <w:t xml:space="preserve">Dalam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kedapatan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pelanggaran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kepabeanan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tindak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lanjut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peraturan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perundang-undangan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bidang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kepabeanan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>.</w:t>
            </w:r>
          </w:p>
          <w:p w14:paraId="0000513C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8.</w:t>
            </w:r>
            <w:r w:rsidRPr="005A24B3">
              <w:rPr>
                <w:rFonts w:ascii="Arial" w:hAnsi="Arial" w:cs="Arial"/>
                <w:lang w:val="en-US"/>
              </w:rPr>
              <w:tab/>
              <w:t xml:space="preserve">Dalam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kedapatan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pelanggaran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kepabeanan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Bea</w:t>
            </w:r>
            <w:r w:rsidRPr="005A24B3">
              <w:rPr>
                <w:rFonts w:ascii="Arial" w:hAnsi="Arial" w:cs="Arial"/>
                <w:lang w:val="en-US"/>
              </w:rPr>
              <w:tab/>
              <w:t xml:space="preserve">dan 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>:</w:t>
            </w:r>
          </w:p>
          <w:p w14:paraId="63597418" w14:textId="2739264B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a.</w:t>
            </w:r>
            <w:r w:rsidRPr="005A24B3">
              <w:rPr>
                <w:rFonts w:ascii="Arial" w:hAnsi="Arial" w:cs="Arial"/>
                <w:lang w:val="en-US"/>
              </w:rPr>
              <w:tab/>
            </w:r>
            <w:proofErr w:type="gramStart"/>
            <w:r w:rsidRPr="005A24B3">
              <w:rPr>
                <w:rFonts w:ascii="Arial" w:hAnsi="Arial" w:cs="Arial"/>
                <w:lang w:val="en-US"/>
              </w:rPr>
              <w:t xml:space="preserve">Dalam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5A24B3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merupakan</w:t>
            </w:r>
            <w:proofErr w:type="spellEnd"/>
            <w:proofErr w:type="gram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larangan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batasan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belum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melengkapi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perizinan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larangan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batasan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meminta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melengkapi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perizinan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larangan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batas.</w:t>
            </w:r>
          </w:p>
        </w:tc>
      </w:tr>
      <w:tr w:rsidR="005A24B3" w14:paraId="39FD3193" w14:textId="77777777" w:rsidTr="005A24B3">
        <w:trPr>
          <w:trHeight w:hRule="exact" w:val="4703"/>
        </w:trPr>
        <w:tc>
          <w:tcPr>
            <w:tcW w:w="7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186D7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EB708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067F9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b.</w:t>
            </w:r>
            <w:r w:rsidRPr="005A24B3">
              <w:rPr>
                <w:rFonts w:ascii="Arial" w:hAnsi="Arial" w:cs="Arial"/>
                <w:lang w:val="en-US"/>
              </w:rPr>
              <w:tab/>
            </w:r>
            <w:proofErr w:type="gramStart"/>
            <w:r w:rsidRPr="005A24B3">
              <w:rPr>
                <w:rFonts w:ascii="Arial" w:hAnsi="Arial" w:cs="Arial"/>
                <w:lang w:val="en-US"/>
              </w:rPr>
              <w:t xml:space="preserve">Dalam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5A24B3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terkena</w:t>
            </w:r>
            <w:proofErr w:type="spellEnd"/>
            <w:proofErr w:type="gram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5A24B3">
              <w:rPr>
                <w:rFonts w:ascii="Arial" w:hAnsi="Arial" w:cs="Arial"/>
                <w:lang w:val="en-US"/>
              </w:rPr>
              <w:t>bea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keluar</w:t>
            </w:r>
            <w:proofErr w:type="spellEnd"/>
            <w:proofErr w:type="gramEnd"/>
            <w:r w:rsidRPr="005A24B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mengenakan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pungutan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bea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keluar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>.</w:t>
            </w:r>
          </w:p>
          <w:p w14:paraId="0381B2E6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c.</w:t>
            </w:r>
            <w:r w:rsidRPr="005A24B3">
              <w:rPr>
                <w:rFonts w:ascii="Arial" w:hAnsi="Arial" w:cs="Arial"/>
                <w:lang w:val="en-US"/>
              </w:rPr>
              <w:tab/>
            </w:r>
            <w:proofErr w:type="gramStart"/>
            <w:r w:rsidRPr="005A24B3">
              <w:rPr>
                <w:rFonts w:ascii="Arial" w:hAnsi="Arial" w:cs="Arial"/>
                <w:lang w:val="en-US"/>
              </w:rPr>
              <w:t xml:space="preserve">Dalam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5A24B3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berupa</w:t>
            </w:r>
            <w:proofErr w:type="spellEnd"/>
            <w:proofErr w:type="gram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5A24B3">
              <w:rPr>
                <w:rFonts w:ascii="Arial" w:hAnsi="Arial" w:cs="Arial"/>
                <w:lang w:val="en-US"/>
              </w:rPr>
              <w:t xml:space="preserve">uang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tunai</w:t>
            </w:r>
            <w:proofErr w:type="spellEnd"/>
            <w:proofErr w:type="gramEnd"/>
            <w:r w:rsidRPr="005A24B3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instrumen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pembayaran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lain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nilai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paling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sedikit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Rp100.000.000 (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seratus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juta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rupiah)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mata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uang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asing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nilai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setara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itu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melaksanakan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prosedur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penyelesaian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kewajiban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uang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tunai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instrument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pembayaran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lain.</w:t>
            </w:r>
          </w:p>
          <w:p w14:paraId="21B8C359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d.</w:t>
            </w:r>
            <w:r w:rsidRPr="005A24B3">
              <w:rPr>
                <w:rFonts w:ascii="Arial" w:hAnsi="Arial" w:cs="Arial"/>
                <w:lang w:val="en-US"/>
              </w:rPr>
              <w:tab/>
              <w:t xml:space="preserve">Dalam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Pelintas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 Batas/WNA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memenuhi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ketentuan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5A24B3">
              <w:rPr>
                <w:rFonts w:ascii="Arial" w:hAnsi="Arial" w:cs="Arial"/>
                <w:lang w:val="en-US"/>
              </w:rPr>
              <w:t>terkait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:</w:t>
            </w:r>
            <w:proofErr w:type="gramEnd"/>
          </w:p>
          <w:p w14:paraId="482B0419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 xml:space="preserve">1)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larangan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batasan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>;</w:t>
            </w:r>
          </w:p>
          <w:p w14:paraId="354919F6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 xml:space="preserve">2)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pungutan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bea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keluar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>; dan/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5075B4E7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3)</w:t>
            </w:r>
            <w:r w:rsidRPr="005A24B3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pembawaan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 uang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tunai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 dan/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instrumen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pembayaran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lain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>,</w:t>
            </w:r>
          </w:p>
          <w:p w14:paraId="4EA9E725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 xml:space="preserve">9.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   Bea     dan  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memberikan</w:t>
            </w:r>
            <w:proofErr w:type="spellEnd"/>
          </w:p>
          <w:p w14:paraId="67155F7D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A24B3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>.</w:t>
            </w:r>
          </w:p>
        </w:tc>
      </w:tr>
      <w:tr w:rsidR="005A24B3" w14:paraId="3CFEBEA2" w14:textId="77777777" w:rsidTr="005A24B3">
        <w:trPr>
          <w:trHeight w:hRule="exact" w:val="9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3B536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BA62B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A24B3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Waktu</w:t>
            </w:r>
          </w:p>
          <w:p w14:paraId="0A929964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A24B3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335AB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Paling lama 1 (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diberikan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Ekspor</w:t>
            </w:r>
            <w:proofErr w:type="spellEnd"/>
          </w:p>
        </w:tc>
      </w:tr>
      <w:tr w:rsidR="005A24B3" w14:paraId="180D249E" w14:textId="77777777" w:rsidTr="005A24B3">
        <w:trPr>
          <w:trHeight w:hRule="exact" w:val="9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41AB4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13AAA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A24B3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46C57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 xml:space="preserve">Tidak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5A24B3" w14:paraId="2B4BE53B" w14:textId="77777777" w:rsidTr="005A24B3">
        <w:trPr>
          <w:trHeight w:hRule="exact" w:val="9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28129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1F1D6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A24B3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786D2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A24B3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Ekspor</w:t>
            </w:r>
            <w:proofErr w:type="spellEnd"/>
          </w:p>
        </w:tc>
      </w:tr>
      <w:tr w:rsidR="005A24B3" w14:paraId="69656417" w14:textId="77777777" w:rsidTr="005A24B3">
        <w:trPr>
          <w:trHeight w:hRule="exact" w:val="335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5D217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9850A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A24B3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18B74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1.</w:t>
            </w:r>
            <w:r w:rsidRPr="005A24B3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5A24B3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5A24B3">
              <w:rPr>
                <w:rFonts w:ascii="Arial" w:hAnsi="Arial" w:cs="Arial"/>
                <w:lang w:val="en-US"/>
              </w:rPr>
              <w:t xml:space="preserve"> atau                          ke                          email </w:t>
            </w:r>
            <w:hyperlink r:id="rId8">
              <w:r w:rsidRPr="005A24B3">
                <w:rPr>
                  <w:rStyle w:val="Hyperlink"/>
                  <w:rFonts w:ascii="Arial" w:hAnsi="Arial" w:cs="Arial"/>
                  <w:lang w:val="en-US"/>
                </w:rPr>
                <w:t>pengaduan.beacukai@customs.go.id</w:t>
              </w:r>
            </w:hyperlink>
          </w:p>
          <w:p w14:paraId="6E7FAB2B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2.</w:t>
            </w:r>
            <w:r w:rsidRPr="005A24B3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Kepatuhan Internal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Jl. Ahmad Yani By Pass -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32D67C25" w14:textId="77777777" w:rsidR="005A24B3" w:rsidRPr="005A24B3" w:rsidRDefault="005A24B3" w:rsidP="005A24B3">
            <w:pPr>
              <w:spacing w:after="0"/>
              <w:rPr>
                <w:rFonts w:ascii="Arial" w:hAnsi="Arial" w:cs="Arial"/>
                <w:lang w:val="en-US"/>
              </w:rPr>
            </w:pPr>
            <w:r w:rsidRPr="005A24B3">
              <w:rPr>
                <w:rFonts w:ascii="Arial" w:hAnsi="Arial" w:cs="Arial"/>
                <w:lang w:val="en-US"/>
              </w:rPr>
              <w:t>3.</w:t>
            </w:r>
            <w:r w:rsidRPr="005A24B3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5A24B3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5A24B3">
              <w:rPr>
                <w:rFonts w:ascii="Arial" w:hAnsi="Arial" w:cs="Arial"/>
                <w:lang w:val="en-US"/>
              </w:rPr>
              <w:t xml:space="preserve">saran,   </w:t>
            </w:r>
            <w:proofErr w:type="gramEnd"/>
            <w:r w:rsidRPr="005A24B3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5A24B3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5A24B3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780492EA" w14:textId="77777777" w:rsidR="002C40B6" w:rsidRPr="002B36D7" w:rsidRDefault="002C40B6" w:rsidP="002B36D7">
      <w:pPr>
        <w:spacing w:after="0"/>
        <w:rPr>
          <w:rFonts w:ascii="Arial" w:hAnsi="Arial" w:cs="Arial"/>
        </w:rPr>
      </w:pPr>
    </w:p>
    <w:sectPr w:rsidR="002C40B6" w:rsidRPr="002B36D7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FEF53" w14:textId="77777777" w:rsidR="00DF1266" w:rsidRDefault="00DF1266">
      <w:pPr>
        <w:spacing w:after="0" w:line="240" w:lineRule="auto"/>
      </w:pPr>
      <w:r>
        <w:separator/>
      </w:r>
    </w:p>
  </w:endnote>
  <w:endnote w:type="continuationSeparator" w:id="0">
    <w:p w14:paraId="6AA5AA65" w14:textId="77777777" w:rsidR="00DF1266" w:rsidRDefault="00DF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22EB" w14:textId="77777777" w:rsidR="00DF1266" w:rsidRDefault="00DF1266">
      <w:pPr>
        <w:spacing w:after="0" w:line="240" w:lineRule="auto"/>
      </w:pPr>
      <w:r>
        <w:separator/>
      </w:r>
    </w:p>
  </w:footnote>
  <w:footnote w:type="continuationSeparator" w:id="0">
    <w:p w14:paraId="54C713DF" w14:textId="77777777" w:rsidR="00DF1266" w:rsidRDefault="00DF1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845"/>
    <w:multiLevelType w:val="hybridMultilevel"/>
    <w:tmpl w:val="C574AA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9833">
    <w:abstractNumId w:val="0"/>
  </w:num>
  <w:num w:numId="2" w16cid:durableId="1019546500">
    <w:abstractNumId w:val="1"/>
  </w:num>
  <w:num w:numId="3" w16cid:durableId="939991496">
    <w:abstractNumId w:val="3"/>
  </w:num>
  <w:num w:numId="4" w16cid:durableId="1508253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46614"/>
    <w:rsid w:val="00057E7D"/>
    <w:rsid w:val="000618FE"/>
    <w:rsid w:val="00081EE4"/>
    <w:rsid w:val="000837BB"/>
    <w:rsid w:val="000F1168"/>
    <w:rsid w:val="00143DEB"/>
    <w:rsid w:val="00195FEB"/>
    <w:rsid w:val="001A0988"/>
    <w:rsid w:val="001A0E32"/>
    <w:rsid w:val="001B05F8"/>
    <w:rsid w:val="001D3A75"/>
    <w:rsid w:val="00211065"/>
    <w:rsid w:val="00211752"/>
    <w:rsid w:val="002656C0"/>
    <w:rsid w:val="00272922"/>
    <w:rsid w:val="00281DC2"/>
    <w:rsid w:val="0028655C"/>
    <w:rsid w:val="002A4B8E"/>
    <w:rsid w:val="002A6F80"/>
    <w:rsid w:val="002B36D7"/>
    <w:rsid w:val="002C40B6"/>
    <w:rsid w:val="002C606C"/>
    <w:rsid w:val="002D4199"/>
    <w:rsid w:val="002E5D14"/>
    <w:rsid w:val="002F5E6A"/>
    <w:rsid w:val="00312306"/>
    <w:rsid w:val="00314608"/>
    <w:rsid w:val="00315786"/>
    <w:rsid w:val="00324C60"/>
    <w:rsid w:val="00345EEB"/>
    <w:rsid w:val="00355977"/>
    <w:rsid w:val="00384DD2"/>
    <w:rsid w:val="00386940"/>
    <w:rsid w:val="003B589D"/>
    <w:rsid w:val="003E590B"/>
    <w:rsid w:val="00453ED6"/>
    <w:rsid w:val="00481D3F"/>
    <w:rsid w:val="00497645"/>
    <w:rsid w:val="004A233A"/>
    <w:rsid w:val="004B693E"/>
    <w:rsid w:val="004C010D"/>
    <w:rsid w:val="004C13DA"/>
    <w:rsid w:val="004D3FE7"/>
    <w:rsid w:val="004E3308"/>
    <w:rsid w:val="00540370"/>
    <w:rsid w:val="00556174"/>
    <w:rsid w:val="0057248B"/>
    <w:rsid w:val="00593D8E"/>
    <w:rsid w:val="005A1EFD"/>
    <w:rsid w:val="005A24B3"/>
    <w:rsid w:val="005B3322"/>
    <w:rsid w:val="00613FF3"/>
    <w:rsid w:val="006211DE"/>
    <w:rsid w:val="006245A9"/>
    <w:rsid w:val="00625249"/>
    <w:rsid w:val="00645529"/>
    <w:rsid w:val="0065017E"/>
    <w:rsid w:val="006627B1"/>
    <w:rsid w:val="00675373"/>
    <w:rsid w:val="006A52FA"/>
    <w:rsid w:val="006C378A"/>
    <w:rsid w:val="006D0809"/>
    <w:rsid w:val="006D643C"/>
    <w:rsid w:val="006F29AE"/>
    <w:rsid w:val="006F3626"/>
    <w:rsid w:val="00711B2D"/>
    <w:rsid w:val="00742F8F"/>
    <w:rsid w:val="00791661"/>
    <w:rsid w:val="007B582D"/>
    <w:rsid w:val="007E101E"/>
    <w:rsid w:val="007E4C2F"/>
    <w:rsid w:val="007F7B99"/>
    <w:rsid w:val="00831686"/>
    <w:rsid w:val="00861FC1"/>
    <w:rsid w:val="00867438"/>
    <w:rsid w:val="008A13DE"/>
    <w:rsid w:val="008A3EFE"/>
    <w:rsid w:val="008B1D18"/>
    <w:rsid w:val="008C4ACB"/>
    <w:rsid w:val="008C6953"/>
    <w:rsid w:val="008D4398"/>
    <w:rsid w:val="008F171B"/>
    <w:rsid w:val="00950755"/>
    <w:rsid w:val="00990EB8"/>
    <w:rsid w:val="009B531B"/>
    <w:rsid w:val="00A34D64"/>
    <w:rsid w:val="00A56CFE"/>
    <w:rsid w:val="00AD1804"/>
    <w:rsid w:val="00B01330"/>
    <w:rsid w:val="00B94849"/>
    <w:rsid w:val="00BA7DA6"/>
    <w:rsid w:val="00BB48E5"/>
    <w:rsid w:val="00BB6FF3"/>
    <w:rsid w:val="00BF44D3"/>
    <w:rsid w:val="00C308A6"/>
    <w:rsid w:val="00C61F58"/>
    <w:rsid w:val="00C7524A"/>
    <w:rsid w:val="00CB48EE"/>
    <w:rsid w:val="00CD713F"/>
    <w:rsid w:val="00D272F9"/>
    <w:rsid w:val="00D70EF8"/>
    <w:rsid w:val="00D87725"/>
    <w:rsid w:val="00D90D11"/>
    <w:rsid w:val="00DA0303"/>
    <w:rsid w:val="00DD6E92"/>
    <w:rsid w:val="00DF1266"/>
    <w:rsid w:val="00E22FFD"/>
    <w:rsid w:val="00E25352"/>
    <w:rsid w:val="00E61849"/>
    <w:rsid w:val="00E87535"/>
    <w:rsid w:val="00EE0732"/>
    <w:rsid w:val="00F00063"/>
    <w:rsid w:val="00F2070D"/>
    <w:rsid w:val="00F30630"/>
    <w:rsid w:val="00F95619"/>
    <w:rsid w:val="00FB2E2F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614"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2025-07-10T17:27:00Z</dcterms:created>
  <dcterms:modified xsi:type="dcterms:W3CDTF">2025-08-07T02:12:00Z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