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F2F1C21" w:rsidR="000618FE" w:rsidRPr="002B36D7" w:rsidRDefault="005A1EFD" w:rsidP="0065017E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950755" w:rsidRPr="00950755">
        <w:rPr>
          <w:rFonts w:ascii="Arial" w:hAnsi="Arial" w:cs="Arial"/>
          <w:lang w:val="en-US"/>
        </w:rPr>
        <w:t>Pemberitahuan</w:t>
      </w:r>
      <w:proofErr w:type="spellEnd"/>
      <w:r w:rsidR="00950755" w:rsidRPr="00950755">
        <w:rPr>
          <w:rFonts w:ascii="Arial" w:hAnsi="Arial" w:cs="Arial"/>
          <w:lang w:val="en-US"/>
        </w:rPr>
        <w:t xml:space="preserve"> </w:t>
      </w:r>
      <w:proofErr w:type="spellStart"/>
      <w:r w:rsidR="00950755" w:rsidRPr="00950755">
        <w:rPr>
          <w:rFonts w:ascii="Arial" w:hAnsi="Arial" w:cs="Arial"/>
          <w:lang w:val="en-US"/>
        </w:rPr>
        <w:t>Pembawaan</w:t>
      </w:r>
      <w:proofErr w:type="spellEnd"/>
      <w:r w:rsidR="00950755" w:rsidRPr="00950755">
        <w:rPr>
          <w:rFonts w:ascii="Arial" w:hAnsi="Arial" w:cs="Arial"/>
          <w:lang w:val="en-US"/>
        </w:rPr>
        <w:t xml:space="preserve"> Uang </w:t>
      </w:r>
      <w:proofErr w:type="spellStart"/>
      <w:r w:rsidR="00950755" w:rsidRPr="00950755">
        <w:rPr>
          <w:rFonts w:ascii="Arial" w:hAnsi="Arial" w:cs="Arial"/>
          <w:lang w:val="en-US"/>
        </w:rPr>
        <w:t>Tunai</w:t>
      </w:r>
      <w:proofErr w:type="spellEnd"/>
      <w:r w:rsidR="00950755" w:rsidRPr="00950755">
        <w:rPr>
          <w:rFonts w:ascii="Arial" w:hAnsi="Arial" w:cs="Arial"/>
          <w:lang w:val="en-US"/>
        </w:rPr>
        <w:t xml:space="preserve"> </w:t>
      </w:r>
      <w:proofErr w:type="spellStart"/>
      <w:r w:rsidR="00950755" w:rsidRPr="00950755">
        <w:rPr>
          <w:rFonts w:ascii="Arial" w:hAnsi="Arial" w:cs="Arial"/>
          <w:lang w:val="en-US"/>
        </w:rPr>
        <w:t>atau</w:t>
      </w:r>
      <w:proofErr w:type="spellEnd"/>
      <w:r w:rsidR="00950755" w:rsidRPr="00950755">
        <w:rPr>
          <w:rFonts w:ascii="Arial" w:hAnsi="Arial" w:cs="Arial"/>
          <w:lang w:val="en-US"/>
        </w:rPr>
        <w:t xml:space="preserve"> </w:t>
      </w:r>
      <w:proofErr w:type="spellStart"/>
      <w:r w:rsidR="00950755" w:rsidRPr="00950755">
        <w:rPr>
          <w:rFonts w:ascii="Arial" w:hAnsi="Arial" w:cs="Arial"/>
          <w:lang w:val="en-US"/>
        </w:rPr>
        <w:t>Instrumen</w:t>
      </w:r>
      <w:proofErr w:type="spellEnd"/>
      <w:r w:rsidR="00950755" w:rsidRPr="00950755">
        <w:rPr>
          <w:rFonts w:ascii="Arial" w:hAnsi="Arial" w:cs="Arial"/>
          <w:lang w:val="en-US"/>
        </w:rPr>
        <w:t xml:space="preserve"> </w:t>
      </w:r>
      <w:proofErr w:type="spellStart"/>
      <w:r w:rsidR="00950755" w:rsidRPr="00950755">
        <w:rPr>
          <w:rFonts w:ascii="Arial" w:hAnsi="Arial" w:cs="Arial"/>
          <w:lang w:val="en-US"/>
        </w:rPr>
        <w:t>Pembayaran</w:t>
      </w:r>
      <w:proofErr w:type="spellEnd"/>
      <w:r w:rsidR="00950755" w:rsidRPr="00950755">
        <w:rPr>
          <w:rFonts w:ascii="Arial" w:hAnsi="Arial" w:cs="Arial"/>
          <w:lang w:val="en-US"/>
        </w:rPr>
        <w:t xml:space="preserve"> </w:t>
      </w:r>
      <w:proofErr w:type="spellStart"/>
      <w:r w:rsidR="00950755" w:rsidRPr="00950755">
        <w:rPr>
          <w:rFonts w:ascii="Arial" w:hAnsi="Arial" w:cs="Arial"/>
          <w:lang w:val="en-US"/>
        </w:rPr>
        <w:t>Lainnya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78427D02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950755">
        <w:rPr>
          <w:rFonts w:ascii="Arial" w:hAnsi="Arial" w:cs="Arial"/>
        </w:rPr>
        <w:t>8</w:t>
      </w:r>
    </w:p>
    <w:p w14:paraId="283FD6A2" w14:textId="7F632603" w:rsidR="002A6F80" w:rsidRDefault="00AD1804" w:rsidP="002A6F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950755" w:rsidRPr="00950755" w14:paraId="3BA3277F" w14:textId="77777777" w:rsidTr="00950755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AFE9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B201C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BC14B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950755" w:rsidRPr="00950755" w14:paraId="292291FD" w14:textId="77777777" w:rsidTr="002C40B6">
        <w:trPr>
          <w:trHeight w:hRule="exact" w:val="65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2F1763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A13285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4D1BCE0A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BC388A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1.</w:t>
            </w:r>
            <w:r w:rsidRPr="00950755">
              <w:rPr>
                <w:rFonts w:ascii="Arial" w:hAnsi="Arial" w:cs="Arial"/>
                <w:lang w:val="en-US"/>
              </w:rPr>
              <w:tab/>
              <w:t xml:space="preserve">Barang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nilainya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Rp. 100.000.000,00 (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seratus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juta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rupiah)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asing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setara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wajib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55D1D6FB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Pabean</w:t>
            </w:r>
            <w:proofErr w:type="spellEnd"/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BC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3.2;</w:t>
            </w:r>
          </w:p>
          <w:p w14:paraId="6E3134A5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dan</w:t>
            </w:r>
          </w:p>
          <w:p w14:paraId="70BD997F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b.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lain.</w:t>
            </w:r>
          </w:p>
          <w:p w14:paraId="34B68B35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2.   Barang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</w:p>
          <w:p w14:paraId="5A0743A6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rupiah yang  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nilainya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  paling  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  Rp.</w:t>
            </w:r>
          </w:p>
          <w:p w14:paraId="63BB1783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100.000.000,00 (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seratus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juta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rupiah)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wajib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Bank Indonesia (BI).</w:t>
            </w:r>
          </w:p>
          <w:p w14:paraId="1B81DF20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3.</w:t>
            </w:r>
            <w:r w:rsidRPr="00950755">
              <w:rPr>
                <w:rFonts w:ascii="Arial" w:hAnsi="Arial" w:cs="Arial"/>
                <w:lang w:val="en-US"/>
              </w:rPr>
              <w:tab/>
              <w:t xml:space="preserve">Barang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Korporasi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Orang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atas</w:t>
            </w:r>
            <w:proofErr w:type="spellEnd"/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950755">
              <w:rPr>
                <w:rFonts w:ascii="Arial" w:hAnsi="Arial" w:cs="Arial"/>
                <w:lang w:val="en-US"/>
              </w:rPr>
              <w:t xml:space="preserve">nama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Korporasi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)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kertas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asing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(</w:t>
            </w:r>
            <w:proofErr w:type="gramStart"/>
            <w:r w:rsidRPr="00950755">
              <w:rPr>
                <w:rFonts w:ascii="Arial" w:hAnsi="Arial" w:cs="Arial"/>
                <w:lang w:val="en-US"/>
              </w:rPr>
              <w:t xml:space="preserve">UKA)   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  paling   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setara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   Rp.</w:t>
            </w:r>
          </w:p>
          <w:p w14:paraId="60597CA1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1.000.000.000,00 (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miliar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rupiah)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wajib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UKA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BI</w:t>
            </w:r>
          </w:p>
          <w:p w14:paraId="640F1A8E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4.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Atau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bentuk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:</w:t>
            </w:r>
          </w:p>
          <w:p w14:paraId="327AB345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a.   data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283C374F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b.   tulisan di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.</w:t>
            </w:r>
          </w:p>
        </w:tc>
      </w:tr>
      <w:tr w:rsidR="002C40B6" w:rsidRPr="00950755" w14:paraId="1A02FCAB" w14:textId="77777777" w:rsidTr="002C40B6">
        <w:trPr>
          <w:trHeight w:val="1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AE8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183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027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mendatangi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pos DJBC di terminal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keberangkatan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1550D3DC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a.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melaporkan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uang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</w:t>
            </w:r>
          </w:p>
          <w:p w14:paraId="58DC5192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b.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dan   data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diri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paspor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KTP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pelengkap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7324627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2.   Atas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pelaporan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maka</w:t>
            </w:r>
            <w:proofErr w:type="spellEnd"/>
          </w:p>
          <w:p w14:paraId="7EBA0029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a.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penginputan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aplikasi</w:t>
            </w:r>
            <w:proofErr w:type="spellEnd"/>
          </w:p>
          <w:p w14:paraId="40A5155D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b.   Dalam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belum</w:t>
            </w:r>
            <w:proofErr w:type="spellEnd"/>
          </w:p>
          <w:p w14:paraId="18315CFD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penginputan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BC 3.2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manual</w:t>
            </w:r>
          </w:p>
          <w:p w14:paraId="38C92556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3.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:</w:t>
            </w:r>
          </w:p>
          <w:p w14:paraId="17AA1C67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a.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data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; dan</w:t>
            </w:r>
          </w:p>
          <w:p w14:paraId="74104BD2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b.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Mata   Uang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.</w:t>
            </w:r>
          </w:p>
          <w:p w14:paraId="30399E2B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4.   Dalam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</w:t>
            </w:r>
          </w:p>
          <w:p w14:paraId="2D759A3C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,</w:t>
            </w:r>
          </w:p>
          <w:p w14:paraId="13AAB5A2" w14:textId="77777777" w:rsidR="002C40B6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a.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ditemukan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 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</w:t>
            </w:r>
          </w:p>
          <w:p w14:paraId="1706C66B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9F6C40B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b.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ditemukan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ketidaksesuaian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yaitu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Bea  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mengenakan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perundang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undangan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mengatur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lain.</w:t>
            </w:r>
          </w:p>
          <w:p w14:paraId="0ACBDDA6" w14:textId="77777777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lastRenderedPageBreak/>
              <w:t>5.</w:t>
            </w:r>
            <w:r w:rsidRPr="00950755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dikenakan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memberikan</w:t>
            </w:r>
            <w:proofErr w:type="spellEnd"/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</w:t>
            </w:r>
          </w:p>
          <w:p w14:paraId="7AA7FF88" w14:textId="4A02E253" w:rsidR="002C40B6" w:rsidRPr="00950755" w:rsidRDefault="002C40B6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/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lain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admnistrasi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diselesaikan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.</w:t>
            </w:r>
          </w:p>
        </w:tc>
      </w:tr>
      <w:tr w:rsidR="00950755" w14:paraId="6E23D647" w14:textId="77777777" w:rsidTr="002C40B6">
        <w:trPr>
          <w:trHeight w:hRule="exact" w:val="1200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21CB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E096A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Waktu</w:t>
            </w:r>
          </w:p>
          <w:p w14:paraId="267C08D8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05B4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) jam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siap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diperiksa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Lainnya</w:t>
            </w:r>
            <w:proofErr w:type="spellEnd"/>
          </w:p>
        </w:tc>
      </w:tr>
      <w:tr w:rsidR="00950755" w14:paraId="4CA8B452" w14:textId="77777777" w:rsidTr="002C40B6">
        <w:trPr>
          <w:trHeight w:hRule="exact" w:val="37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66CA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43D1C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1A08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950755" w14:paraId="2A1A869D" w14:textId="77777777" w:rsidTr="00950755">
        <w:trPr>
          <w:trHeight w:hRule="exact" w:val="12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A7ABD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9368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AC23D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Cetak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Form BC 3.2 yang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ditandatangani</w:t>
            </w:r>
            <w:proofErr w:type="spellEnd"/>
          </w:p>
        </w:tc>
      </w:tr>
      <w:tr w:rsidR="00950755" w14:paraId="3954F422" w14:textId="77777777" w:rsidTr="002C40B6">
        <w:trPr>
          <w:trHeight w:hRule="exact" w:val="374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AF09A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2D4B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004B" w14:textId="313AF564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1.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  Saran,   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dan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on line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Masyarakat (SIPUMA) di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hyperlink r:id="rId7" w:history="1">
              <w:r w:rsidRPr="00B622D8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email </w:t>
            </w:r>
            <w:r w:rsidRPr="00950755">
              <w:rPr>
                <w:rFonts w:ascii="Arial" w:hAnsi="Arial" w:cs="Arial"/>
                <w:lang w:val="en-US"/>
              </w:rPr>
              <w:t>pengaduan.beacukai@customs.go.id</w:t>
            </w:r>
          </w:p>
          <w:p w14:paraId="59443162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via</w:t>
            </w:r>
          </w:p>
          <w:p w14:paraId="28276B6C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0B50DA84" w14:textId="77777777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r w:rsidRPr="00950755">
              <w:rPr>
                <w:rFonts w:ascii="Arial" w:hAnsi="Arial" w:cs="Arial"/>
                <w:lang w:val="en-US"/>
              </w:rPr>
              <w:t>3.</w:t>
            </w:r>
            <w:r w:rsidRPr="0095075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950755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95075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saluran</w:t>
            </w:r>
            <w:proofErr w:type="spellEnd"/>
          </w:p>
          <w:p w14:paraId="1E1F7EEC" w14:textId="37DBA9FC" w:rsidR="00950755" w:rsidRPr="00950755" w:rsidRDefault="00950755" w:rsidP="0095075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950755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950755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950755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39D5749" w14:textId="77777777" w:rsidR="002A6F80" w:rsidRDefault="002A6F80" w:rsidP="002B36D7">
      <w:pPr>
        <w:spacing w:after="0"/>
        <w:rPr>
          <w:rFonts w:ascii="Arial" w:hAnsi="Arial" w:cs="Arial"/>
        </w:rPr>
      </w:pPr>
    </w:p>
    <w:p w14:paraId="7DC54E0C" w14:textId="77777777" w:rsidR="002A6F80" w:rsidRDefault="002A6F80" w:rsidP="002B36D7">
      <w:pPr>
        <w:spacing w:after="0"/>
        <w:rPr>
          <w:rFonts w:ascii="Arial" w:hAnsi="Arial" w:cs="Arial"/>
        </w:rPr>
      </w:pPr>
    </w:p>
    <w:p w14:paraId="00FF2CD0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BA62F0C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64967E4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34E3919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2BAAEA55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4A5E8289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161FDB95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62BA0DA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1E78E52F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C13D3A4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403FE8B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04DD5605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53B4EC03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464BD301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81450ED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2769F31A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1A2ACC5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5D802637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275A043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FF8F063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56203967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1AB6F792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FC52B75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51F9AF2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BE47654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27F4EE19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27E6D249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1C70FB8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6769B528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057E195C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0AA41DD" w14:textId="77777777" w:rsidR="002C40B6" w:rsidRDefault="002C40B6" w:rsidP="002B36D7">
      <w:pPr>
        <w:spacing w:after="0"/>
        <w:rPr>
          <w:rFonts w:ascii="Arial" w:hAnsi="Arial" w:cs="Arial"/>
        </w:rPr>
      </w:pPr>
    </w:p>
    <w:p w14:paraId="780492EA" w14:textId="77777777" w:rsidR="002C40B6" w:rsidRPr="002B36D7" w:rsidRDefault="002C40B6" w:rsidP="002B36D7">
      <w:pPr>
        <w:spacing w:after="0"/>
        <w:rPr>
          <w:rFonts w:ascii="Arial" w:hAnsi="Arial" w:cs="Arial"/>
        </w:rPr>
      </w:pPr>
    </w:p>
    <w:sectPr w:rsidR="002C40B6" w:rsidRPr="002B36D7" w:rsidSect="006211DE">
      <w:headerReference w:type="default" r:id="rId8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B092" w14:textId="77777777" w:rsidR="00633EC0" w:rsidRDefault="00633EC0">
      <w:pPr>
        <w:spacing w:after="0" w:line="240" w:lineRule="auto"/>
      </w:pPr>
      <w:r>
        <w:separator/>
      </w:r>
    </w:p>
  </w:endnote>
  <w:endnote w:type="continuationSeparator" w:id="0">
    <w:p w14:paraId="2FBD317D" w14:textId="77777777" w:rsidR="00633EC0" w:rsidRDefault="0063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2F92" w14:textId="77777777" w:rsidR="00633EC0" w:rsidRDefault="00633EC0">
      <w:pPr>
        <w:spacing w:after="0" w:line="240" w:lineRule="auto"/>
      </w:pPr>
      <w:r>
        <w:separator/>
      </w:r>
    </w:p>
  </w:footnote>
  <w:footnote w:type="continuationSeparator" w:id="0">
    <w:p w14:paraId="0B9AA504" w14:textId="77777777" w:rsidR="00633EC0" w:rsidRDefault="0063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84DD2"/>
    <w:rsid w:val="00386940"/>
    <w:rsid w:val="003A194C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613FF3"/>
    <w:rsid w:val="006211DE"/>
    <w:rsid w:val="006245A9"/>
    <w:rsid w:val="00625249"/>
    <w:rsid w:val="00633EC0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42F8F"/>
    <w:rsid w:val="00791661"/>
    <w:rsid w:val="007B582D"/>
    <w:rsid w:val="007E101E"/>
    <w:rsid w:val="007E4C2F"/>
    <w:rsid w:val="007F7B99"/>
    <w:rsid w:val="00831686"/>
    <w:rsid w:val="00861FC1"/>
    <w:rsid w:val="00867438"/>
    <w:rsid w:val="008A13DE"/>
    <w:rsid w:val="008B1D18"/>
    <w:rsid w:val="008C4ACB"/>
    <w:rsid w:val="008C6953"/>
    <w:rsid w:val="008D4398"/>
    <w:rsid w:val="008F171B"/>
    <w:rsid w:val="00950755"/>
    <w:rsid w:val="00990EB8"/>
    <w:rsid w:val="009B531B"/>
    <w:rsid w:val="00A34D64"/>
    <w:rsid w:val="00A56CFE"/>
    <w:rsid w:val="00AD1804"/>
    <w:rsid w:val="00B01330"/>
    <w:rsid w:val="00B94849"/>
    <w:rsid w:val="00BA7DA6"/>
    <w:rsid w:val="00BB48E5"/>
    <w:rsid w:val="00BB6FF3"/>
    <w:rsid w:val="00BF44D3"/>
    <w:rsid w:val="00C308A6"/>
    <w:rsid w:val="00C61F58"/>
    <w:rsid w:val="00C7524A"/>
    <w:rsid w:val="00CB48EE"/>
    <w:rsid w:val="00CD713F"/>
    <w:rsid w:val="00D272F9"/>
    <w:rsid w:val="00D70EF8"/>
    <w:rsid w:val="00D87725"/>
    <w:rsid w:val="00D90D11"/>
    <w:rsid w:val="00DA0303"/>
    <w:rsid w:val="00DD6E92"/>
    <w:rsid w:val="00E22FFD"/>
    <w:rsid w:val="00E25352"/>
    <w:rsid w:val="00E61849"/>
    <w:rsid w:val="00E743A3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2025-07-10T17:11:00Z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