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A83C" w14:textId="357A75A8" w:rsidR="000618FE" w:rsidRPr="0057248B" w:rsidRDefault="005A1EFD" w:rsidP="00CD713F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proofErr w:type="gramStart"/>
      <w:r w:rsidR="005B3322" w:rsidRPr="005B3322">
        <w:rPr>
          <w:rFonts w:ascii="Arial" w:hAnsi="Arial" w:cs="Arial"/>
        </w:rPr>
        <w:t>Pelayanan</w:t>
      </w:r>
      <w:proofErr w:type="spellEnd"/>
      <w:r w:rsidR="005B3322" w:rsidRPr="005B3322">
        <w:rPr>
          <w:rFonts w:ascii="Arial" w:hAnsi="Arial" w:cs="Arial"/>
        </w:rPr>
        <w:t xml:space="preserve">  </w:t>
      </w:r>
      <w:proofErr w:type="spellStart"/>
      <w:r w:rsidR="005B3322" w:rsidRPr="005B3322">
        <w:rPr>
          <w:rFonts w:ascii="Arial" w:hAnsi="Arial" w:cs="Arial"/>
        </w:rPr>
        <w:t>Pencabutan</w:t>
      </w:r>
      <w:proofErr w:type="spellEnd"/>
      <w:proofErr w:type="gramEnd"/>
      <w:r w:rsidR="005B3322" w:rsidRPr="005B3322">
        <w:rPr>
          <w:rFonts w:ascii="Arial" w:hAnsi="Arial" w:cs="Arial"/>
        </w:rPr>
        <w:t xml:space="preserve">  </w:t>
      </w:r>
      <w:proofErr w:type="spellStart"/>
      <w:r w:rsidR="005B3322" w:rsidRPr="005B3322">
        <w:rPr>
          <w:rFonts w:ascii="Arial" w:hAnsi="Arial" w:cs="Arial"/>
        </w:rPr>
        <w:t>Izin</w:t>
      </w:r>
      <w:proofErr w:type="spellEnd"/>
      <w:r w:rsidR="005B3322" w:rsidRPr="005B3322">
        <w:rPr>
          <w:rFonts w:ascii="Arial" w:hAnsi="Arial" w:cs="Arial"/>
        </w:rPr>
        <w:t xml:space="preserve">  Kawasan  </w:t>
      </w:r>
      <w:proofErr w:type="spellStart"/>
      <w:r w:rsidR="005B3322" w:rsidRPr="005B3322">
        <w:rPr>
          <w:rFonts w:ascii="Arial" w:hAnsi="Arial" w:cs="Arial"/>
        </w:rPr>
        <w:t>Pabean</w:t>
      </w:r>
      <w:proofErr w:type="spellEnd"/>
      <w:r w:rsidR="005B3322" w:rsidRPr="005B3322">
        <w:rPr>
          <w:rFonts w:ascii="Arial" w:hAnsi="Arial" w:cs="Arial"/>
        </w:rPr>
        <w:t xml:space="preserve">  dan/</w:t>
      </w:r>
      <w:proofErr w:type="spellStart"/>
      <w:r w:rsidR="005B3322" w:rsidRPr="005B3322">
        <w:rPr>
          <w:rFonts w:ascii="Arial" w:hAnsi="Arial" w:cs="Arial"/>
        </w:rPr>
        <w:t>atau</w:t>
      </w:r>
      <w:proofErr w:type="spellEnd"/>
      <w:r w:rsidR="005B3322" w:rsidRPr="005B3322">
        <w:rPr>
          <w:rFonts w:ascii="Arial" w:hAnsi="Arial" w:cs="Arial"/>
        </w:rPr>
        <w:t xml:space="preserve">  TPS  </w:t>
      </w:r>
      <w:proofErr w:type="spellStart"/>
      <w:r w:rsidR="005B3322" w:rsidRPr="005B3322">
        <w:rPr>
          <w:rFonts w:ascii="Arial" w:hAnsi="Arial" w:cs="Arial"/>
        </w:rPr>
        <w:t>berdasarkan</w:t>
      </w:r>
      <w:proofErr w:type="spellEnd"/>
      <w:r w:rsidR="005B3322" w:rsidRPr="005B3322">
        <w:rPr>
          <w:rFonts w:ascii="Arial" w:hAnsi="Arial" w:cs="Arial"/>
        </w:rPr>
        <w:t xml:space="preserve"> </w:t>
      </w:r>
      <w:proofErr w:type="spellStart"/>
      <w:r w:rsidR="005B3322" w:rsidRPr="005B3322">
        <w:rPr>
          <w:rFonts w:ascii="Arial" w:hAnsi="Arial" w:cs="Arial"/>
        </w:rPr>
        <w:t>Permohonan</w:t>
      </w:r>
      <w:proofErr w:type="spellEnd"/>
      <w:r w:rsidR="005B3322" w:rsidRPr="005B3322">
        <w:rPr>
          <w:rFonts w:ascii="Arial" w:hAnsi="Arial" w:cs="Arial"/>
        </w:rPr>
        <w:t xml:space="preserve"> </w:t>
      </w:r>
      <w:proofErr w:type="spellStart"/>
      <w:r w:rsidR="005B3322" w:rsidRPr="005B3322">
        <w:rPr>
          <w:rFonts w:ascii="Arial" w:hAnsi="Arial" w:cs="Arial"/>
        </w:rPr>
        <w:t>dari</w:t>
      </w:r>
      <w:proofErr w:type="spellEnd"/>
      <w:r w:rsidR="005B3322" w:rsidRPr="005B3322">
        <w:rPr>
          <w:rFonts w:ascii="Arial" w:hAnsi="Arial" w:cs="Arial"/>
        </w:rPr>
        <w:t xml:space="preserve"> </w:t>
      </w:r>
      <w:proofErr w:type="spellStart"/>
      <w:r w:rsidR="005B3322" w:rsidRPr="005B3322">
        <w:rPr>
          <w:rFonts w:ascii="Arial" w:hAnsi="Arial" w:cs="Arial"/>
        </w:rPr>
        <w:t>Pengelola</w:t>
      </w:r>
      <w:proofErr w:type="spellEnd"/>
      <w:r w:rsidR="005B3322" w:rsidRPr="005B3322">
        <w:rPr>
          <w:rFonts w:ascii="Arial" w:hAnsi="Arial" w:cs="Arial"/>
        </w:rPr>
        <w:t xml:space="preserve"> Kawasan dan/</w:t>
      </w:r>
      <w:proofErr w:type="spellStart"/>
      <w:r w:rsidR="005B3322" w:rsidRPr="005B3322">
        <w:rPr>
          <w:rFonts w:ascii="Arial" w:hAnsi="Arial" w:cs="Arial"/>
        </w:rPr>
        <w:t>atau</w:t>
      </w:r>
      <w:proofErr w:type="spellEnd"/>
      <w:r w:rsidR="005B3322" w:rsidRPr="005B3322">
        <w:rPr>
          <w:rFonts w:ascii="Arial" w:hAnsi="Arial" w:cs="Arial"/>
        </w:rPr>
        <w:t xml:space="preserve"> </w:t>
      </w:r>
      <w:proofErr w:type="spellStart"/>
      <w:r w:rsidR="005B3322" w:rsidRPr="005B3322">
        <w:rPr>
          <w:rFonts w:ascii="Arial" w:hAnsi="Arial" w:cs="Arial"/>
        </w:rPr>
        <w:t>Pengusaha</w:t>
      </w:r>
      <w:proofErr w:type="spellEnd"/>
      <w:r w:rsidR="005B3322" w:rsidRPr="005B3322">
        <w:rPr>
          <w:rFonts w:ascii="Arial" w:hAnsi="Arial" w:cs="Arial"/>
        </w:rPr>
        <w:t xml:space="preserve"> TPS pada Kantor</w:t>
      </w:r>
      <w:r w:rsidR="005B3322">
        <w:rPr>
          <w:rFonts w:ascii="Arial" w:hAnsi="Arial" w:cs="Arial"/>
        </w:rPr>
        <w:t xml:space="preserve"> </w:t>
      </w:r>
      <w:proofErr w:type="spellStart"/>
      <w:r w:rsidR="005B3322" w:rsidRPr="005B3322">
        <w:rPr>
          <w:rFonts w:ascii="Arial" w:hAnsi="Arial" w:cs="Arial"/>
        </w:rPr>
        <w:t>Pengawasan</w:t>
      </w:r>
      <w:proofErr w:type="spellEnd"/>
      <w:r w:rsidR="005B3322" w:rsidRPr="005B3322">
        <w:rPr>
          <w:rFonts w:ascii="Arial" w:hAnsi="Arial" w:cs="Arial"/>
        </w:rPr>
        <w:t xml:space="preserve"> dan </w:t>
      </w:r>
      <w:proofErr w:type="spellStart"/>
      <w:r w:rsidR="005B3322" w:rsidRPr="005B3322">
        <w:rPr>
          <w:rFonts w:ascii="Arial" w:hAnsi="Arial" w:cs="Arial"/>
        </w:rPr>
        <w:t>Pelayanan</w:t>
      </w:r>
      <w:proofErr w:type="spellEnd"/>
      <w:r w:rsidR="005B3322" w:rsidRPr="005B3322">
        <w:rPr>
          <w:rFonts w:ascii="Arial" w:hAnsi="Arial" w:cs="Arial"/>
        </w:rPr>
        <w:t xml:space="preserve"> Bea dan </w:t>
      </w:r>
      <w:proofErr w:type="spellStart"/>
      <w:r w:rsidR="005B3322" w:rsidRPr="005B3322">
        <w:rPr>
          <w:rFonts w:ascii="Arial" w:hAnsi="Arial" w:cs="Arial"/>
        </w:rPr>
        <w:t>Cukai</w:t>
      </w:r>
      <w:proofErr w:type="spellEnd"/>
      <w:r w:rsidR="005B3322" w:rsidRPr="005B3322">
        <w:rPr>
          <w:rFonts w:ascii="Arial" w:hAnsi="Arial" w:cs="Arial"/>
        </w:rPr>
        <w:t xml:space="preserve"> dan Kantor Wilayah/Kantor Wilayah </w:t>
      </w:r>
      <w:proofErr w:type="spellStart"/>
      <w:r w:rsidR="005B3322" w:rsidRPr="005B3322">
        <w:rPr>
          <w:rFonts w:ascii="Arial" w:hAnsi="Arial" w:cs="Arial"/>
        </w:rPr>
        <w:t>Khusus</w:t>
      </w:r>
      <w:proofErr w:type="spellEnd"/>
      <w:r w:rsidR="005B3322" w:rsidRPr="005B3322">
        <w:rPr>
          <w:rFonts w:ascii="Arial" w:hAnsi="Arial" w:cs="Arial"/>
        </w:rPr>
        <w:t xml:space="preserve"> (KPPBC-KANWIL/KANWILSUS)</w:t>
      </w:r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36588CD3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625249">
        <w:rPr>
          <w:rFonts w:ascii="Arial" w:hAnsi="Arial" w:cs="Arial"/>
        </w:rPr>
        <w:t>1</w:t>
      </w:r>
      <w:r w:rsidR="005B3322">
        <w:rPr>
          <w:rFonts w:ascii="Arial" w:hAnsi="Arial" w:cs="Arial"/>
        </w:rPr>
        <w:t>8</w:t>
      </w:r>
    </w:p>
    <w:p w14:paraId="7A7983A4" w14:textId="2520B466" w:rsidR="00AD1804" w:rsidRDefault="00AD1804" w:rsidP="00AD180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proofErr w:type="spellStart"/>
      <w:proofErr w:type="gramStart"/>
      <w:r w:rsidRPr="00AD1804">
        <w:rPr>
          <w:rFonts w:ascii="Arial" w:hAnsi="Arial" w:cs="Arial"/>
        </w:rPr>
        <w:t>Komponen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Standar</w:t>
      </w:r>
      <w:proofErr w:type="spellEnd"/>
      <w:proofErr w:type="gram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 yang  </w:t>
      </w:r>
      <w:proofErr w:type="spellStart"/>
      <w:r w:rsidRPr="00AD1804">
        <w:rPr>
          <w:rFonts w:ascii="Arial" w:hAnsi="Arial" w:cs="Arial"/>
        </w:rPr>
        <w:t>terkait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dengan</w:t>
      </w:r>
      <w:proofErr w:type="spellEnd"/>
      <w:r w:rsidRPr="00AD1804">
        <w:rPr>
          <w:rFonts w:ascii="Arial" w:hAnsi="Arial" w:cs="Arial"/>
        </w:rPr>
        <w:t xml:space="preserve">  proses  </w:t>
      </w:r>
      <w:proofErr w:type="spellStart"/>
      <w:r w:rsidRPr="00AD1804">
        <w:rPr>
          <w:rFonts w:ascii="Arial" w:hAnsi="Arial" w:cs="Arial"/>
        </w:rPr>
        <w:t>penyampaian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meliputi</w:t>
      </w:r>
      <w:proofErr w:type="spellEnd"/>
      <w:r w:rsidRPr="00AD1804">
        <w:rPr>
          <w:rFonts w:ascii="Arial" w:hAnsi="Arial" w:cs="Arial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6515"/>
      </w:tblGrid>
      <w:tr w:rsidR="005B3322" w:rsidRPr="005B3322" w14:paraId="167EB768" w14:textId="77777777" w:rsidTr="00355977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11083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r w:rsidRPr="005B3322"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33147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B3322">
              <w:rPr>
                <w:rFonts w:ascii="Arial" w:hAnsi="Arial" w:cs="Arial"/>
                <w:lang w:val="en-US"/>
              </w:rPr>
              <w:t>Komponen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659C6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B3322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5B3322" w:rsidRPr="005B3322" w14:paraId="62742DDD" w14:textId="77777777" w:rsidTr="00355977">
        <w:trPr>
          <w:trHeight w:hRule="exact" w:val="357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EC648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r w:rsidRPr="005B3322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98628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B3322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593C89BE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B3322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D165E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r w:rsidRPr="005B3322">
              <w:rPr>
                <w:rFonts w:ascii="Arial" w:hAnsi="Arial" w:cs="Arial"/>
                <w:lang w:val="en-US"/>
              </w:rPr>
              <w:t>1.</w:t>
            </w:r>
            <w:r w:rsidRPr="005B3322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mengajukan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  Surat  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Pencabutan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Komputer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(SKP)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untuk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Kantor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menerapkan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r w:rsidRPr="005B3322">
              <w:rPr>
                <w:rFonts w:ascii="Arial" w:hAnsi="Arial" w:cs="Arial"/>
                <w:i/>
                <w:lang w:val="en-US"/>
              </w:rPr>
              <w:t xml:space="preserve">hardcopy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>.</w:t>
            </w:r>
          </w:p>
          <w:p w14:paraId="13CFCD8C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r w:rsidRPr="005B3322">
              <w:rPr>
                <w:rFonts w:ascii="Arial" w:hAnsi="Arial" w:cs="Arial"/>
                <w:lang w:val="en-US"/>
              </w:rPr>
              <w:t>2.</w:t>
            </w:r>
            <w:r w:rsidRPr="005B3322">
              <w:rPr>
                <w:rFonts w:ascii="Arial" w:hAnsi="Arial" w:cs="Arial"/>
                <w:lang w:val="en-US"/>
              </w:rPr>
              <w:tab/>
              <w:t xml:space="preserve">Surat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Pencabutan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Izin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disertai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pencabutan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>.</w:t>
            </w:r>
          </w:p>
          <w:p w14:paraId="260D2C96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r w:rsidRPr="005B3322">
              <w:rPr>
                <w:rFonts w:ascii="Arial" w:hAnsi="Arial" w:cs="Arial"/>
                <w:lang w:val="en-US"/>
              </w:rPr>
              <w:t>3.</w:t>
            </w:r>
            <w:r w:rsidRPr="005B3322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   SKP   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mengalami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gangguan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tulisan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diatas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formulir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, MPDE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Surat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Elektronik</w:t>
            </w:r>
            <w:proofErr w:type="spellEnd"/>
          </w:p>
        </w:tc>
      </w:tr>
      <w:tr w:rsidR="005B3322" w:rsidRPr="005B3322" w14:paraId="723A106F" w14:textId="77777777" w:rsidTr="00355977">
        <w:trPr>
          <w:trHeight w:hRule="exact" w:val="773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05A0B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r w:rsidRPr="005B3322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B1AE7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B3322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Mekanisme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417FC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r w:rsidRPr="005B3322">
              <w:rPr>
                <w:rFonts w:ascii="Arial" w:hAnsi="Arial" w:cs="Arial"/>
                <w:lang w:val="en-US"/>
              </w:rPr>
              <w:t>1.</w:t>
            </w:r>
            <w:r w:rsidRPr="005B3322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r w:rsidRPr="005B3322">
              <w:rPr>
                <w:rFonts w:ascii="Arial" w:hAnsi="Arial" w:cs="Arial"/>
                <w:i/>
                <w:lang w:val="en-US"/>
              </w:rPr>
              <w:t xml:space="preserve">hardcopy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pelayanan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>.</w:t>
            </w:r>
          </w:p>
          <w:p w14:paraId="11B9195C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r w:rsidRPr="005B3322">
              <w:rPr>
                <w:rFonts w:ascii="Arial" w:hAnsi="Arial" w:cs="Arial"/>
                <w:lang w:val="en-US"/>
              </w:rPr>
              <w:t>2.</w:t>
            </w:r>
            <w:r w:rsidRPr="005B3322">
              <w:rPr>
                <w:rFonts w:ascii="Arial" w:hAnsi="Arial" w:cs="Arial"/>
                <w:lang w:val="en-US"/>
              </w:rPr>
              <w:tab/>
              <w:t xml:space="preserve">SKP       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      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      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KPPBC/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petugas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loket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memberikan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tanda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terima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kemudian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meneruskan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KPPBC/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>.</w:t>
            </w:r>
          </w:p>
          <w:p w14:paraId="050E86BD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r w:rsidRPr="005B3322">
              <w:rPr>
                <w:rFonts w:ascii="Arial" w:hAnsi="Arial" w:cs="Arial"/>
                <w:lang w:val="en-US"/>
              </w:rPr>
              <w:t>3.</w:t>
            </w:r>
            <w:r w:rsidRPr="005B3322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KPPBC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>.</w:t>
            </w:r>
          </w:p>
          <w:p w14:paraId="1953A980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r w:rsidRPr="005B3322">
              <w:rPr>
                <w:rFonts w:ascii="Arial" w:hAnsi="Arial" w:cs="Arial"/>
                <w:lang w:val="en-US"/>
              </w:rPr>
              <w:t>4.</w:t>
            </w:r>
            <w:r w:rsidRPr="005B3322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KPPBC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menandatangani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Naskah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Dinas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Penyampaian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Usulan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Pencabutan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Kantor Wilayah.</w:t>
            </w:r>
          </w:p>
          <w:p w14:paraId="399A46C0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r w:rsidRPr="005B3322">
              <w:rPr>
                <w:rFonts w:ascii="Arial" w:hAnsi="Arial" w:cs="Arial"/>
                <w:lang w:val="en-US"/>
              </w:rPr>
              <w:t>5.</w:t>
            </w:r>
            <w:r w:rsidRPr="005B3322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Kantor Wilayah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ditunjuk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melakukan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>.</w:t>
            </w:r>
          </w:p>
          <w:p w14:paraId="6E9916E1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r w:rsidRPr="005B3322">
              <w:rPr>
                <w:rFonts w:ascii="Arial" w:hAnsi="Arial" w:cs="Arial"/>
                <w:lang w:val="en-US"/>
              </w:rPr>
              <w:t>6.</w:t>
            </w:r>
            <w:r w:rsidRPr="005B3322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   Kantor    Wilayah   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menandatangani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Keputusan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Pencabutan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TPS.</w:t>
            </w:r>
          </w:p>
          <w:p w14:paraId="020F9B7F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r w:rsidRPr="005B3322">
              <w:rPr>
                <w:rFonts w:ascii="Arial" w:hAnsi="Arial" w:cs="Arial"/>
                <w:lang w:val="en-US"/>
              </w:rPr>
              <w:t xml:space="preserve">7.  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Pemohon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tembusan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  Keputusan</w:t>
            </w:r>
          </w:p>
          <w:p w14:paraId="2BCCFE07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B3322">
              <w:rPr>
                <w:rFonts w:ascii="Arial" w:hAnsi="Arial" w:cs="Arial"/>
                <w:lang w:val="en-US"/>
              </w:rPr>
              <w:t>Pencabutan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SKP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r w:rsidRPr="005B3322">
              <w:rPr>
                <w:rFonts w:ascii="Arial" w:hAnsi="Arial" w:cs="Arial"/>
                <w:i/>
                <w:lang w:val="en-US"/>
              </w:rPr>
              <w:t>hardcopy</w:t>
            </w:r>
            <w:r w:rsidRPr="005B3322">
              <w:rPr>
                <w:rFonts w:ascii="Arial" w:hAnsi="Arial" w:cs="Arial"/>
                <w:lang w:val="en-US"/>
              </w:rPr>
              <w:t>.</w:t>
            </w:r>
          </w:p>
        </w:tc>
      </w:tr>
      <w:tr w:rsidR="00FA0123" w:rsidRPr="005B3322" w14:paraId="2D7DE8C4" w14:textId="77777777" w:rsidTr="00355977">
        <w:trPr>
          <w:trHeight w:hRule="exact" w:val="773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33E0C" w14:textId="77777777" w:rsidR="00FA0123" w:rsidRPr="005B3322" w:rsidRDefault="00FA0123" w:rsidP="005B3322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03AD0" w14:textId="77777777" w:rsidR="00FA0123" w:rsidRPr="005B3322" w:rsidRDefault="00FA0123" w:rsidP="005B3322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D1010" w14:textId="77777777" w:rsidR="00FA0123" w:rsidRPr="005B3322" w:rsidRDefault="00FA0123" w:rsidP="005B3322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</w:tr>
      <w:tr w:rsidR="005B3322" w14:paraId="53DEB79D" w14:textId="77777777" w:rsidTr="00355977">
        <w:trPr>
          <w:trHeight w:hRule="exact" w:val="396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7C457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r w:rsidRPr="005B3322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42B4E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B3322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Waktu</w:t>
            </w:r>
          </w:p>
          <w:p w14:paraId="022DFFD2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B3322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BBC68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r w:rsidRPr="005B3322">
              <w:rPr>
                <w:rFonts w:ascii="Arial" w:hAnsi="Arial" w:cs="Arial"/>
                <w:lang w:val="en-US"/>
              </w:rPr>
              <w:t>1.   KPPBC:</w:t>
            </w:r>
          </w:p>
          <w:p w14:paraId="7237C68F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r w:rsidRPr="005B3322">
              <w:rPr>
                <w:rFonts w:ascii="Arial" w:hAnsi="Arial" w:cs="Arial"/>
                <w:lang w:val="en-US"/>
              </w:rPr>
              <w:t xml:space="preserve">Paling lama 5 (lima)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dimulai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Naskah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Dinas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Penyampaian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Usulan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Pencabutan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Kantor.</w:t>
            </w:r>
          </w:p>
          <w:p w14:paraId="60C9588E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r w:rsidRPr="005B3322">
              <w:rPr>
                <w:rFonts w:ascii="Arial" w:hAnsi="Arial" w:cs="Arial"/>
                <w:lang w:val="en-US"/>
              </w:rPr>
              <w:t xml:space="preserve">2.  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Kanwil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>:</w:t>
            </w:r>
          </w:p>
          <w:p w14:paraId="27571C20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r w:rsidRPr="005B3322">
              <w:rPr>
                <w:rFonts w:ascii="Arial" w:hAnsi="Arial" w:cs="Arial"/>
                <w:lang w:val="en-US"/>
              </w:rPr>
              <w:t xml:space="preserve">Paling lama 5 (lima)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dimulai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  Kantor   Wilayah  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menerima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Naskah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Dinas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Penyampaian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Usulan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Pencabutan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Keputusan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Pencabutan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TPS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ditandatangani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oleh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Kantor.</w:t>
            </w:r>
          </w:p>
        </w:tc>
      </w:tr>
      <w:tr w:rsidR="005B3322" w14:paraId="6321F38B" w14:textId="77777777" w:rsidTr="00355977">
        <w:trPr>
          <w:trHeight w:hRule="exact" w:val="77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6E086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r w:rsidRPr="005B3322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02A08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B3322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934F8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B3322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5B3322" w14:paraId="14163804" w14:textId="77777777" w:rsidTr="00355977">
        <w:trPr>
          <w:trHeight w:hRule="exact" w:val="141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91974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r w:rsidRPr="005B3322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23795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B3322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B0AB3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r w:rsidRPr="005B3322">
              <w:rPr>
                <w:rFonts w:ascii="Arial" w:hAnsi="Arial" w:cs="Arial"/>
                <w:lang w:val="en-US"/>
              </w:rPr>
              <w:t xml:space="preserve">Keputusan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nama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Menteri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mengenai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Pencabutan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sebagai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Kawasan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Pabean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dan/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TPS</w:t>
            </w:r>
          </w:p>
        </w:tc>
      </w:tr>
      <w:tr w:rsidR="005B3322" w14:paraId="716E2211" w14:textId="77777777" w:rsidTr="00355977">
        <w:trPr>
          <w:trHeight w:hRule="exact" w:val="3464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FB3C4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r w:rsidRPr="005B3322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503686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B3322">
              <w:rPr>
                <w:rFonts w:ascii="Arial" w:hAnsi="Arial" w:cs="Arial"/>
                <w:lang w:val="en-US"/>
              </w:rPr>
              <w:t>Penanganan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, Saran dan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8A818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r w:rsidRPr="005B3322">
              <w:rPr>
                <w:rFonts w:ascii="Arial" w:hAnsi="Arial" w:cs="Arial"/>
                <w:lang w:val="en-US"/>
              </w:rPr>
              <w:t>1.</w:t>
            </w:r>
            <w:r w:rsidRPr="005B3322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5B3322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5B3322">
              <w:rPr>
                <w:rFonts w:ascii="Arial" w:hAnsi="Arial" w:cs="Arial"/>
                <w:lang w:val="en-US"/>
              </w:rPr>
              <w:t xml:space="preserve">Saran,   dan  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     Masyarakat      (SIPUMA)      di </w:t>
            </w:r>
            <w:hyperlink r:id="rId7">
              <w:r w:rsidRPr="005B3322">
                <w:rPr>
                  <w:rStyle w:val="Hyperlink"/>
                  <w:rFonts w:ascii="Arial" w:hAnsi="Arial" w:cs="Arial"/>
                  <w:lang w:val="en-US"/>
                </w:rPr>
                <w:t>http://www.beacukai.go.id/pengaduan.html</w:t>
              </w:r>
            </w:hyperlink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pengaduan</w:t>
            </w:r>
            <w:hyperlink r:id="rId8">
              <w:r w:rsidRPr="005B3322">
                <w:rPr>
                  <w:rStyle w:val="Hyperlink"/>
                  <w:rFonts w:ascii="Arial" w:hAnsi="Arial" w:cs="Arial"/>
                  <w:lang w:val="en-US"/>
                </w:rPr>
                <w:t>.beacukai@customs.go.id</w:t>
              </w:r>
            </w:hyperlink>
          </w:p>
          <w:p w14:paraId="35656C66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r w:rsidRPr="005B3322">
              <w:rPr>
                <w:rFonts w:ascii="Arial" w:hAnsi="Arial" w:cs="Arial"/>
                <w:lang w:val="en-US"/>
              </w:rPr>
              <w:t>2.</w:t>
            </w:r>
            <w:r w:rsidRPr="005B3322">
              <w:rPr>
                <w:rFonts w:ascii="Arial" w:hAnsi="Arial" w:cs="Arial"/>
                <w:lang w:val="en-US"/>
              </w:rPr>
              <w:tab/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via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telepon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Internal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Jl. Ahmad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Yani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By Pass -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>, Jakarta Timur Jakarta – 13230</w:t>
            </w:r>
          </w:p>
          <w:p w14:paraId="0EFC4A11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r w:rsidRPr="005B3322">
              <w:rPr>
                <w:rFonts w:ascii="Arial" w:hAnsi="Arial" w:cs="Arial"/>
                <w:lang w:val="en-US"/>
              </w:rPr>
              <w:t xml:space="preserve">3.  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5B3322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5B3322">
              <w:rPr>
                <w:rFonts w:ascii="Arial" w:hAnsi="Arial" w:cs="Arial"/>
                <w:lang w:val="en-US"/>
              </w:rPr>
              <w:t xml:space="preserve"> saran,    dan</w:t>
            </w:r>
          </w:p>
          <w:p w14:paraId="7FB22CD0" w14:textId="77777777" w:rsidR="005B3322" w:rsidRPr="005B3322" w:rsidRDefault="005B3322" w:rsidP="005B3322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5B3322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5B3322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5B3322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5D598618" w14:textId="77777777" w:rsidR="00BB48E5" w:rsidRDefault="00BB48E5" w:rsidP="00AD1804">
      <w:pPr>
        <w:spacing w:after="0"/>
        <w:rPr>
          <w:rFonts w:ascii="Arial" w:hAnsi="Arial" w:cs="Arial"/>
          <w:lang w:val="en-US"/>
        </w:rPr>
      </w:pPr>
    </w:p>
    <w:p w14:paraId="29772623" w14:textId="77777777" w:rsidR="00481D3F" w:rsidRPr="005B3322" w:rsidRDefault="00481D3F" w:rsidP="00481D3F">
      <w:pPr>
        <w:spacing w:after="0"/>
        <w:rPr>
          <w:rFonts w:ascii="Arial" w:hAnsi="Arial" w:cs="Arial"/>
          <w:lang w:val="en-US"/>
        </w:rPr>
      </w:pPr>
    </w:p>
    <w:sectPr w:rsidR="00481D3F" w:rsidRPr="005B3322" w:rsidSect="006211DE">
      <w:headerReference w:type="default" r:id="rId9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558B4" w14:textId="77777777" w:rsidR="000D148D" w:rsidRDefault="000D148D">
      <w:pPr>
        <w:spacing w:after="0" w:line="240" w:lineRule="auto"/>
      </w:pPr>
      <w:r>
        <w:separator/>
      </w:r>
    </w:p>
  </w:endnote>
  <w:endnote w:type="continuationSeparator" w:id="0">
    <w:p w14:paraId="753A3FD4" w14:textId="77777777" w:rsidR="000D148D" w:rsidRDefault="000D1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BF382" w14:textId="77777777" w:rsidR="000D148D" w:rsidRDefault="000D148D">
      <w:pPr>
        <w:spacing w:after="0" w:line="240" w:lineRule="auto"/>
      </w:pPr>
      <w:r>
        <w:separator/>
      </w:r>
    </w:p>
  </w:footnote>
  <w:footnote w:type="continuationSeparator" w:id="0">
    <w:p w14:paraId="5CCAD5E4" w14:textId="77777777" w:rsidR="000D148D" w:rsidRDefault="000D1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7845"/>
    <w:multiLevelType w:val="hybridMultilevel"/>
    <w:tmpl w:val="C574AA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57E7D"/>
    <w:rsid w:val="000618FE"/>
    <w:rsid w:val="00081EE4"/>
    <w:rsid w:val="000D148D"/>
    <w:rsid w:val="000F1168"/>
    <w:rsid w:val="00143DEB"/>
    <w:rsid w:val="00195FEB"/>
    <w:rsid w:val="001A0E32"/>
    <w:rsid w:val="001B05F8"/>
    <w:rsid w:val="00211752"/>
    <w:rsid w:val="002656C0"/>
    <w:rsid w:val="00272922"/>
    <w:rsid w:val="00281DC2"/>
    <w:rsid w:val="0028655C"/>
    <w:rsid w:val="002E5D14"/>
    <w:rsid w:val="00314608"/>
    <w:rsid w:val="00315786"/>
    <w:rsid w:val="00324C60"/>
    <w:rsid w:val="00355977"/>
    <w:rsid w:val="00386940"/>
    <w:rsid w:val="003B589D"/>
    <w:rsid w:val="003E590B"/>
    <w:rsid w:val="00453ED6"/>
    <w:rsid w:val="00481D3F"/>
    <w:rsid w:val="00497645"/>
    <w:rsid w:val="004A233A"/>
    <w:rsid w:val="004B693E"/>
    <w:rsid w:val="004C010D"/>
    <w:rsid w:val="004C13DA"/>
    <w:rsid w:val="004E3308"/>
    <w:rsid w:val="00540370"/>
    <w:rsid w:val="0054360D"/>
    <w:rsid w:val="00556174"/>
    <w:rsid w:val="0057248B"/>
    <w:rsid w:val="00593D8E"/>
    <w:rsid w:val="005A1EFD"/>
    <w:rsid w:val="005B3322"/>
    <w:rsid w:val="00613FF3"/>
    <w:rsid w:val="006211DE"/>
    <w:rsid w:val="006245A9"/>
    <w:rsid w:val="00625249"/>
    <w:rsid w:val="00645529"/>
    <w:rsid w:val="006627B1"/>
    <w:rsid w:val="00675373"/>
    <w:rsid w:val="006A52FA"/>
    <w:rsid w:val="006C378A"/>
    <w:rsid w:val="006D643C"/>
    <w:rsid w:val="006F29AE"/>
    <w:rsid w:val="006F3626"/>
    <w:rsid w:val="00711B2D"/>
    <w:rsid w:val="007A54A9"/>
    <w:rsid w:val="007B582D"/>
    <w:rsid w:val="007E101E"/>
    <w:rsid w:val="007E4C2F"/>
    <w:rsid w:val="00831686"/>
    <w:rsid w:val="00867438"/>
    <w:rsid w:val="008A13DE"/>
    <w:rsid w:val="008B1D18"/>
    <w:rsid w:val="008C469D"/>
    <w:rsid w:val="008C6953"/>
    <w:rsid w:val="008D4398"/>
    <w:rsid w:val="00990EB8"/>
    <w:rsid w:val="009B531B"/>
    <w:rsid w:val="00A34D64"/>
    <w:rsid w:val="00AD1804"/>
    <w:rsid w:val="00B01330"/>
    <w:rsid w:val="00B94849"/>
    <w:rsid w:val="00BB48E5"/>
    <w:rsid w:val="00BF44D3"/>
    <w:rsid w:val="00C308A6"/>
    <w:rsid w:val="00C61F58"/>
    <w:rsid w:val="00CB48EE"/>
    <w:rsid w:val="00CD713F"/>
    <w:rsid w:val="00D272F9"/>
    <w:rsid w:val="00D90D11"/>
    <w:rsid w:val="00DA0303"/>
    <w:rsid w:val="00DD6E92"/>
    <w:rsid w:val="00E22FFD"/>
    <w:rsid w:val="00E25352"/>
    <w:rsid w:val="00E61849"/>
    <w:rsid w:val="00E87535"/>
    <w:rsid w:val="00EE0732"/>
    <w:rsid w:val="00F00063"/>
    <w:rsid w:val="00F2070D"/>
    <w:rsid w:val="00F30630"/>
    <w:rsid w:val="00F95619"/>
    <w:rsid w:val="00FA012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424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5</cp:revision>
  <dcterms:created xsi:type="dcterms:W3CDTF">2025-07-10T15:51:00Z</dcterms:created>
  <dcterms:modified xsi:type="dcterms:W3CDTF">2025-07-31T04:14:00Z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