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68E0D801" w:rsidR="000618FE" w:rsidRPr="0057248B" w:rsidRDefault="005A1EFD" w:rsidP="00CD713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CD713F" w:rsidRPr="00CD713F">
        <w:rPr>
          <w:rFonts w:ascii="Arial" w:hAnsi="Arial" w:cs="Arial"/>
        </w:rPr>
        <w:t>Pelayanan</w:t>
      </w:r>
      <w:proofErr w:type="spellEnd"/>
      <w:r w:rsidR="00CD713F" w:rsidRPr="00CD713F">
        <w:rPr>
          <w:rFonts w:ascii="Arial" w:hAnsi="Arial" w:cs="Arial"/>
        </w:rPr>
        <w:t xml:space="preserve"> </w:t>
      </w:r>
      <w:proofErr w:type="spellStart"/>
      <w:r w:rsidR="00CD713F" w:rsidRPr="00CD713F">
        <w:rPr>
          <w:rFonts w:ascii="Arial" w:hAnsi="Arial" w:cs="Arial"/>
        </w:rPr>
        <w:t>Permohonan</w:t>
      </w:r>
      <w:proofErr w:type="spellEnd"/>
      <w:r w:rsidR="00CD713F" w:rsidRPr="00CD713F">
        <w:rPr>
          <w:rFonts w:ascii="Arial" w:hAnsi="Arial" w:cs="Arial"/>
        </w:rPr>
        <w:t xml:space="preserve"> </w:t>
      </w:r>
      <w:proofErr w:type="spellStart"/>
      <w:r w:rsidR="00CD713F" w:rsidRPr="00CD713F">
        <w:rPr>
          <w:rFonts w:ascii="Arial" w:hAnsi="Arial" w:cs="Arial"/>
        </w:rPr>
        <w:t>Perpanjangan</w:t>
      </w:r>
      <w:proofErr w:type="spellEnd"/>
      <w:r w:rsidR="00CD713F" w:rsidRPr="00CD713F">
        <w:rPr>
          <w:rFonts w:ascii="Arial" w:hAnsi="Arial" w:cs="Arial"/>
        </w:rPr>
        <w:t xml:space="preserve"> </w:t>
      </w:r>
      <w:proofErr w:type="spellStart"/>
      <w:r w:rsidR="00CD713F" w:rsidRPr="00CD713F">
        <w:rPr>
          <w:rFonts w:ascii="Arial" w:hAnsi="Arial" w:cs="Arial"/>
        </w:rPr>
        <w:t>Izin</w:t>
      </w:r>
      <w:proofErr w:type="spellEnd"/>
      <w:r w:rsidR="00CD713F" w:rsidRPr="00CD713F">
        <w:rPr>
          <w:rFonts w:ascii="Arial" w:hAnsi="Arial" w:cs="Arial"/>
        </w:rPr>
        <w:t xml:space="preserve"> </w:t>
      </w:r>
      <w:proofErr w:type="spellStart"/>
      <w:r w:rsidR="00CD713F" w:rsidRPr="00CD713F">
        <w:rPr>
          <w:rFonts w:ascii="Arial" w:hAnsi="Arial" w:cs="Arial"/>
        </w:rPr>
        <w:t>Penetapan</w:t>
      </w:r>
      <w:proofErr w:type="spellEnd"/>
      <w:r w:rsidR="00CD713F" w:rsidRPr="00CD713F">
        <w:rPr>
          <w:rFonts w:ascii="Arial" w:hAnsi="Arial" w:cs="Arial"/>
        </w:rPr>
        <w:t xml:space="preserve"> </w:t>
      </w:r>
      <w:proofErr w:type="spellStart"/>
      <w:r w:rsidR="00CD713F" w:rsidRPr="00CD713F">
        <w:rPr>
          <w:rFonts w:ascii="Arial" w:hAnsi="Arial" w:cs="Arial"/>
        </w:rPr>
        <w:t>sebagai</w:t>
      </w:r>
      <w:proofErr w:type="spellEnd"/>
      <w:r w:rsidR="00CD713F" w:rsidRPr="00CD713F">
        <w:rPr>
          <w:rFonts w:ascii="Arial" w:hAnsi="Arial" w:cs="Arial"/>
        </w:rPr>
        <w:t xml:space="preserve"> TPS pada Kantor</w:t>
      </w:r>
      <w:r w:rsidR="00CD713F">
        <w:rPr>
          <w:rFonts w:ascii="Arial" w:hAnsi="Arial" w:cs="Arial"/>
        </w:rPr>
        <w:t xml:space="preserve"> </w:t>
      </w:r>
      <w:proofErr w:type="spellStart"/>
      <w:r w:rsidR="00CD713F" w:rsidRPr="00CD713F">
        <w:rPr>
          <w:rFonts w:ascii="Arial" w:hAnsi="Arial" w:cs="Arial"/>
        </w:rPr>
        <w:t>Pelayanan</w:t>
      </w:r>
      <w:proofErr w:type="spellEnd"/>
      <w:r w:rsidR="00CD713F" w:rsidRPr="00CD713F">
        <w:rPr>
          <w:rFonts w:ascii="Arial" w:hAnsi="Arial" w:cs="Arial"/>
        </w:rPr>
        <w:t xml:space="preserve"> Utama Bea dan </w:t>
      </w:r>
      <w:proofErr w:type="spellStart"/>
      <w:r w:rsidR="00CD713F" w:rsidRPr="00CD713F">
        <w:rPr>
          <w:rFonts w:ascii="Arial" w:hAnsi="Arial" w:cs="Arial"/>
        </w:rPr>
        <w:t>Cukai</w:t>
      </w:r>
      <w:proofErr w:type="spellEnd"/>
      <w:r w:rsidR="00CD713F" w:rsidRPr="00CD713F">
        <w:rPr>
          <w:rFonts w:ascii="Arial" w:hAnsi="Arial" w:cs="Arial"/>
        </w:rPr>
        <w:t xml:space="preserve"> (KPU BC)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23447D4B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</w:t>
      </w:r>
      <w:r w:rsidR="00CD713F">
        <w:rPr>
          <w:rFonts w:ascii="Arial" w:hAnsi="Arial" w:cs="Arial"/>
        </w:rPr>
        <w:t>5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p w14:paraId="610803EF" w14:textId="77777777" w:rsidR="00CD713F" w:rsidRPr="00CD713F" w:rsidRDefault="00CD713F" w:rsidP="00CD713F">
      <w:pPr>
        <w:spacing w:after="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373"/>
      </w:tblGrid>
      <w:tr w:rsidR="00CD713F" w:rsidRPr="00CD713F" w14:paraId="38A65F74" w14:textId="77777777" w:rsidTr="00CD713F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0EDE4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2E95F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F9510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CD713F" w:rsidRPr="00CD713F" w14:paraId="4640ED52" w14:textId="77777777" w:rsidTr="00CD713F">
        <w:trPr>
          <w:trHeight w:hRule="exact" w:val="535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8BA68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1CBF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35CF939E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EF221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1.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Surat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(SKP)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r w:rsidRPr="00CD713F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107BE51C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TPS</w:t>
            </w:r>
          </w:p>
          <w:p w14:paraId="7C11263B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TPS;</w:t>
            </w:r>
          </w:p>
          <w:p w14:paraId="38F49514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3.</w:t>
            </w:r>
            <w:r w:rsidRPr="00CD713F">
              <w:rPr>
                <w:rFonts w:ascii="Arial" w:hAnsi="Arial" w:cs="Arial"/>
                <w:lang w:val="en-US"/>
              </w:rPr>
              <w:tab/>
              <w:t xml:space="preserve">Keputusan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Menteri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TPS;</w:t>
            </w:r>
          </w:p>
          <w:p w14:paraId="1A07EC9F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4.</w:t>
            </w:r>
            <w:r w:rsidRPr="00CD713F">
              <w:rPr>
                <w:rFonts w:ascii="Arial" w:hAnsi="Arial" w:cs="Arial"/>
                <w:lang w:val="en-US"/>
              </w:rPr>
              <w:tab/>
              <w:t xml:space="preserve">Bukti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kepemilikan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singkat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2 (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dua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3D0D46C2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5.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 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416066C1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gangguan</w:t>
            </w:r>
            <w:proofErr w:type="spellEnd"/>
          </w:p>
          <w:p w14:paraId="2A52D1A2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MPDE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Elektronik</w:t>
            </w:r>
            <w:proofErr w:type="spellEnd"/>
          </w:p>
        </w:tc>
      </w:tr>
      <w:tr w:rsidR="00CD713F" w:rsidRPr="00CD713F" w14:paraId="55300056" w14:textId="77777777" w:rsidTr="00CD713F">
        <w:trPr>
          <w:trHeight w:hRule="exact" w:val="595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48D7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04915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07077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1.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r w:rsidRPr="00CD713F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1F2743CC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2.</w:t>
            </w:r>
            <w:r w:rsidRPr="00CD713F">
              <w:rPr>
                <w:rFonts w:ascii="Arial" w:hAnsi="Arial" w:cs="Arial"/>
                <w:lang w:val="en-US"/>
              </w:rPr>
              <w:tab/>
              <w:t xml:space="preserve">SKP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KPU BC/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berkas</w:t>
            </w:r>
            <w:proofErr w:type="spellEnd"/>
          </w:p>
          <w:p w14:paraId="4060B649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a.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593DEBCE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proofErr w:type="gramStart"/>
            <w:r w:rsidRPr="00CD713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tanda</w:t>
            </w:r>
            <w:proofErr w:type="spellEnd"/>
          </w:p>
          <w:p w14:paraId="378C1D25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CD713F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proofErr w:type="gram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BC/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1546F015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Cukai</w:t>
            </w:r>
            <w:proofErr w:type="spellEnd"/>
          </w:p>
          <w:p w14:paraId="5D750EB9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yang 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6EC2B8C7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tidak sesuai,</w:t>
            </w:r>
          </w:p>
          <w:p w14:paraId="3F37A7E0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</w:tc>
      </w:tr>
      <w:tr w:rsidR="00CD713F" w14:paraId="1E93B715" w14:textId="77777777" w:rsidTr="00CD713F">
        <w:trPr>
          <w:trHeight w:hRule="exact" w:val="736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5453A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D92D7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73AF8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b.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mencocokkan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hardcopy dan softcopy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417DEF0C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4.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proofErr w:type="gramStart"/>
            <w:r w:rsidRPr="00CD713F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CD713F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,</w:t>
            </w:r>
          </w:p>
          <w:p w14:paraId="1748669E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a.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Lokasi.</w:t>
            </w:r>
          </w:p>
          <w:p w14:paraId="4F958B45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b.</w:t>
            </w:r>
            <w:r w:rsidRPr="00CD713F">
              <w:rPr>
                <w:rFonts w:ascii="Arial" w:hAnsi="Arial" w:cs="Arial"/>
                <w:lang w:val="en-US"/>
              </w:rPr>
              <w:tab/>
              <w:t xml:space="preserve">Tim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Lokasi  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370CC809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c.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0062BF50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Cukai</w:t>
            </w:r>
            <w:proofErr w:type="spellEnd"/>
          </w:p>
          <w:p w14:paraId="675222D2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550ECC6C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menerbitkan</w:t>
            </w:r>
            <w:proofErr w:type="spellEnd"/>
          </w:p>
          <w:p w14:paraId="33C5364F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Keputusan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TPS.</w:t>
            </w:r>
          </w:p>
          <w:p w14:paraId="2FC13DD5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7.   </w:t>
            </w:r>
            <w:proofErr w:type="spellStart"/>
            <w:proofErr w:type="gramStart"/>
            <w:r w:rsidRPr="00CD713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KPU  BC</w:t>
            </w:r>
          </w:p>
          <w:p w14:paraId="236DD2A5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  <w:p w14:paraId="4736DB9B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8.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CD713F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menerima</w:t>
            </w:r>
            <w:proofErr w:type="spellEnd"/>
            <w:proofErr w:type="gramEnd"/>
            <w:r w:rsidRPr="00CD713F">
              <w:rPr>
                <w:rFonts w:ascii="Arial" w:hAnsi="Arial" w:cs="Arial"/>
                <w:lang w:val="en-US"/>
              </w:rPr>
              <w:t xml:space="preserve">  Keputusan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sebagai TPS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secara hardcopy.</w:t>
            </w:r>
          </w:p>
        </w:tc>
      </w:tr>
      <w:tr w:rsidR="00CD713F" w14:paraId="5BEF6C5F" w14:textId="77777777" w:rsidTr="00CD713F">
        <w:trPr>
          <w:trHeight w:hRule="exact" w:val="18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35814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6BAA0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Waktu</w:t>
            </w:r>
          </w:p>
          <w:p w14:paraId="74227146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092DF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Paling lama 10 (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Sebagai TPS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KPU BC.</w:t>
            </w:r>
          </w:p>
        </w:tc>
      </w:tr>
      <w:tr w:rsidR="00CD713F" w14:paraId="6338DC0F" w14:textId="77777777" w:rsidTr="00CD713F">
        <w:trPr>
          <w:trHeight w:hRule="exact" w:val="112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5FEB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560F7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85BF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CD713F" w14:paraId="7172E6E4" w14:textId="77777777" w:rsidTr="00CD713F">
        <w:trPr>
          <w:trHeight w:hRule="exact" w:val="127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116E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C649B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C5844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 xml:space="preserve">Keputusan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>.</w:t>
            </w:r>
          </w:p>
        </w:tc>
      </w:tr>
      <w:tr w:rsidR="00CD713F" w14:paraId="7950E133" w14:textId="77777777" w:rsidTr="00CD713F">
        <w:trPr>
          <w:trHeight w:hRule="exact" w:val="39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AFE4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8A05B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CD713F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CBDCB" w14:textId="77777777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1.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CD713F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CD713F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CD713F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15DFC877" w14:textId="77777777" w:rsid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 w:rsidRPr="00CD713F">
              <w:rPr>
                <w:rFonts w:ascii="Arial" w:hAnsi="Arial" w:cs="Arial"/>
                <w:lang w:val="en-US"/>
              </w:rPr>
              <w:t>2.</w:t>
            </w:r>
            <w:r w:rsidRPr="00CD713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Jl. Ahmad</w:t>
            </w:r>
          </w:p>
          <w:p w14:paraId="54B9DC9A" w14:textId="09A2008E" w:rsidR="00CD713F" w:rsidRPr="00CD713F" w:rsidRDefault="00CD713F" w:rsidP="00CD713F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CD713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CD713F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CD713F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CD713F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6D61A0C2" w14:textId="77777777" w:rsidR="00AD1804" w:rsidRDefault="00AD1804" w:rsidP="00AD1804">
      <w:pPr>
        <w:spacing w:after="0"/>
        <w:rPr>
          <w:rFonts w:ascii="Arial" w:hAnsi="Arial" w:cs="Arial"/>
          <w:lang w:val="en-US"/>
        </w:rPr>
      </w:pPr>
    </w:p>
    <w:p w14:paraId="0CA4B58A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7AAC42B7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32629592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1E04589D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4A824C81" w14:textId="77777777" w:rsidR="00CD713F" w:rsidRP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3F866CAC" w14:textId="77777777" w:rsidR="00481D3F" w:rsidRPr="00481D3F" w:rsidRDefault="00481D3F" w:rsidP="00481D3F">
      <w:pPr>
        <w:spacing w:after="0"/>
        <w:rPr>
          <w:rFonts w:ascii="Arial" w:hAnsi="Arial" w:cs="Arial"/>
        </w:rPr>
      </w:pPr>
    </w:p>
    <w:sectPr w:rsidR="00481D3F" w:rsidRPr="00481D3F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D195" w14:textId="77777777" w:rsidR="003B589D" w:rsidRDefault="003B589D">
      <w:pPr>
        <w:spacing w:after="0" w:line="240" w:lineRule="auto"/>
      </w:pPr>
      <w:r>
        <w:separator/>
      </w:r>
    </w:p>
  </w:endnote>
  <w:endnote w:type="continuationSeparator" w:id="0">
    <w:p w14:paraId="59EA459F" w14:textId="77777777" w:rsidR="003B589D" w:rsidRDefault="003B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613D" w14:textId="77777777" w:rsidR="003B589D" w:rsidRDefault="003B589D">
      <w:pPr>
        <w:spacing w:after="0" w:line="240" w:lineRule="auto"/>
      </w:pPr>
      <w:r>
        <w:separator/>
      </w:r>
    </w:p>
  </w:footnote>
  <w:footnote w:type="continuationSeparator" w:id="0">
    <w:p w14:paraId="6868E151" w14:textId="77777777" w:rsidR="003B589D" w:rsidRDefault="003B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43DEB"/>
    <w:rsid w:val="00195FEB"/>
    <w:rsid w:val="001A0E32"/>
    <w:rsid w:val="00211752"/>
    <w:rsid w:val="002656C0"/>
    <w:rsid w:val="00272922"/>
    <w:rsid w:val="00281DC2"/>
    <w:rsid w:val="0028655C"/>
    <w:rsid w:val="002E5D14"/>
    <w:rsid w:val="00314608"/>
    <w:rsid w:val="00315786"/>
    <w:rsid w:val="00324C60"/>
    <w:rsid w:val="00386940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540370"/>
    <w:rsid w:val="00556174"/>
    <w:rsid w:val="0057248B"/>
    <w:rsid w:val="005A1EFD"/>
    <w:rsid w:val="00613FF3"/>
    <w:rsid w:val="006211DE"/>
    <w:rsid w:val="006245A9"/>
    <w:rsid w:val="00625249"/>
    <w:rsid w:val="00645529"/>
    <w:rsid w:val="006627B1"/>
    <w:rsid w:val="00675373"/>
    <w:rsid w:val="006A52FA"/>
    <w:rsid w:val="006C378A"/>
    <w:rsid w:val="006D643C"/>
    <w:rsid w:val="006F29AE"/>
    <w:rsid w:val="006F3626"/>
    <w:rsid w:val="00711B2D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9D54FE"/>
    <w:rsid w:val="00A34D64"/>
    <w:rsid w:val="00AD1804"/>
    <w:rsid w:val="00B01330"/>
    <w:rsid w:val="00B94849"/>
    <w:rsid w:val="00BF44D3"/>
    <w:rsid w:val="00C308A6"/>
    <w:rsid w:val="00C61F58"/>
    <w:rsid w:val="00CB48EE"/>
    <w:rsid w:val="00CD713F"/>
    <w:rsid w:val="00D272F9"/>
    <w:rsid w:val="00D90D11"/>
    <w:rsid w:val="00DA0303"/>
    <w:rsid w:val="00DD6E92"/>
    <w:rsid w:val="00E22FFD"/>
    <w:rsid w:val="00E25352"/>
    <w:rsid w:val="00E61849"/>
    <w:rsid w:val="00E87535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534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2025-07-10T15:22:00Z</dcterms:created>
  <dcterms:modified xsi:type="dcterms:W3CDTF">2025-07-31T04:13:00Z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