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67ED7723" w:rsidR="000618FE" w:rsidRPr="0057248B" w:rsidRDefault="005A1EFD" w:rsidP="00540370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540370" w:rsidRPr="00540370">
        <w:rPr>
          <w:rFonts w:ascii="Arial" w:hAnsi="Arial" w:cs="Arial"/>
        </w:rPr>
        <w:t>Pelayanan</w:t>
      </w:r>
      <w:proofErr w:type="spellEnd"/>
      <w:r w:rsidR="00540370" w:rsidRPr="00540370">
        <w:rPr>
          <w:rFonts w:ascii="Arial" w:hAnsi="Arial" w:cs="Arial"/>
        </w:rPr>
        <w:t xml:space="preserve"> </w:t>
      </w:r>
      <w:proofErr w:type="spellStart"/>
      <w:r w:rsidR="00540370" w:rsidRPr="00540370">
        <w:rPr>
          <w:rFonts w:ascii="Arial" w:hAnsi="Arial" w:cs="Arial"/>
        </w:rPr>
        <w:t>Permohonan</w:t>
      </w:r>
      <w:proofErr w:type="spellEnd"/>
      <w:r w:rsidR="00540370" w:rsidRPr="00540370">
        <w:rPr>
          <w:rFonts w:ascii="Arial" w:hAnsi="Arial" w:cs="Arial"/>
        </w:rPr>
        <w:t xml:space="preserve"> </w:t>
      </w:r>
      <w:proofErr w:type="spellStart"/>
      <w:r w:rsidR="00540370" w:rsidRPr="00540370">
        <w:rPr>
          <w:rFonts w:ascii="Arial" w:hAnsi="Arial" w:cs="Arial"/>
        </w:rPr>
        <w:t>Perubahan</w:t>
      </w:r>
      <w:proofErr w:type="spellEnd"/>
      <w:r w:rsidR="00540370" w:rsidRPr="00540370">
        <w:rPr>
          <w:rFonts w:ascii="Arial" w:hAnsi="Arial" w:cs="Arial"/>
        </w:rPr>
        <w:t xml:space="preserve"> Data Kawasan </w:t>
      </w:r>
      <w:proofErr w:type="spellStart"/>
      <w:r w:rsidR="00540370" w:rsidRPr="00540370">
        <w:rPr>
          <w:rFonts w:ascii="Arial" w:hAnsi="Arial" w:cs="Arial"/>
        </w:rPr>
        <w:t>Pabean</w:t>
      </w:r>
      <w:proofErr w:type="spellEnd"/>
      <w:r w:rsidR="00540370" w:rsidRPr="00540370">
        <w:rPr>
          <w:rFonts w:ascii="Arial" w:hAnsi="Arial" w:cs="Arial"/>
        </w:rPr>
        <w:t xml:space="preserve"> dan/</w:t>
      </w:r>
      <w:proofErr w:type="spellStart"/>
      <w:r w:rsidR="00540370" w:rsidRPr="00540370">
        <w:rPr>
          <w:rFonts w:ascii="Arial" w:hAnsi="Arial" w:cs="Arial"/>
        </w:rPr>
        <w:t>atau</w:t>
      </w:r>
      <w:proofErr w:type="spellEnd"/>
      <w:r w:rsidR="00540370" w:rsidRPr="00540370">
        <w:rPr>
          <w:rFonts w:ascii="Arial" w:hAnsi="Arial" w:cs="Arial"/>
        </w:rPr>
        <w:t xml:space="preserve"> TPS pada</w:t>
      </w:r>
      <w:r w:rsidR="00540370">
        <w:rPr>
          <w:rFonts w:ascii="Arial" w:hAnsi="Arial" w:cs="Arial"/>
        </w:rPr>
        <w:t xml:space="preserve"> </w:t>
      </w:r>
      <w:r w:rsidR="00540370" w:rsidRPr="00540370">
        <w:rPr>
          <w:rFonts w:ascii="Arial" w:hAnsi="Arial" w:cs="Arial"/>
        </w:rPr>
        <w:t xml:space="preserve">Kantor </w:t>
      </w:r>
      <w:proofErr w:type="spellStart"/>
      <w:r w:rsidR="00540370" w:rsidRPr="00540370">
        <w:rPr>
          <w:rFonts w:ascii="Arial" w:hAnsi="Arial" w:cs="Arial"/>
        </w:rPr>
        <w:t>Pelayanan</w:t>
      </w:r>
      <w:proofErr w:type="spellEnd"/>
      <w:r w:rsidR="00540370" w:rsidRPr="00540370">
        <w:rPr>
          <w:rFonts w:ascii="Arial" w:hAnsi="Arial" w:cs="Arial"/>
        </w:rPr>
        <w:t xml:space="preserve"> Utama Bea dan </w:t>
      </w:r>
      <w:proofErr w:type="spellStart"/>
      <w:r w:rsidR="00540370" w:rsidRPr="00540370">
        <w:rPr>
          <w:rFonts w:ascii="Arial" w:hAnsi="Arial" w:cs="Arial"/>
        </w:rPr>
        <w:t>Cukai</w:t>
      </w:r>
      <w:proofErr w:type="spellEnd"/>
      <w:r w:rsidR="00540370" w:rsidRPr="00540370">
        <w:rPr>
          <w:rFonts w:ascii="Arial" w:hAnsi="Arial" w:cs="Arial"/>
        </w:rPr>
        <w:t xml:space="preserve"> (KPU BC)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5F17879B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25249">
        <w:rPr>
          <w:rFonts w:ascii="Arial" w:hAnsi="Arial" w:cs="Arial"/>
        </w:rPr>
        <w:t>1</w:t>
      </w:r>
      <w:r w:rsidR="00540370">
        <w:rPr>
          <w:rFonts w:ascii="Arial" w:hAnsi="Arial" w:cs="Arial"/>
        </w:rPr>
        <w:t>3</w:t>
      </w:r>
    </w:p>
    <w:p w14:paraId="160726ED" w14:textId="77777777" w:rsidR="00540370" w:rsidRDefault="00540370" w:rsidP="00F2070D">
      <w:pPr>
        <w:spacing w:after="0"/>
        <w:rPr>
          <w:rFonts w:ascii="Arial" w:hAnsi="Arial" w:cs="Arial"/>
        </w:rPr>
      </w:pPr>
    </w:p>
    <w:p w14:paraId="3CDD4F6C" w14:textId="5FAB4DE1" w:rsidR="00324C60" w:rsidRPr="00DA0303" w:rsidRDefault="00324C60" w:rsidP="00324C6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proofErr w:type="spellStart"/>
      <w:proofErr w:type="gramStart"/>
      <w:r w:rsidRPr="00324C60">
        <w:rPr>
          <w:rFonts w:ascii="Arial" w:hAnsi="Arial" w:cs="Arial"/>
          <w:lang w:val="en-US"/>
        </w:rPr>
        <w:t>Komponen</w:t>
      </w:r>
      <w:proofErr w:type="spellEnd"/>
      <w:r w:rsidRPr="00324C60">
        <w:rPr>
          <w:rFonts w:ascii="Arial" w:hAnsi="Arial" w:cs="Arial"/>
          <w:lang w:val="en-US"/>
        </w:rPr>
        <w:t xml:space="preserve">  </w:t>
      </w:r>
      <w:proofErr w:type="spellStart"/>
      <w:r w:rsidRPr="00324C60">
        <w:rPr>
          <w:rFonts w:ascii="Arial" w:hAnsi="Arial" w:cs="Arial"/>
          <w:lang w:val="en-US"/>
        </w:rPr>
        <w:t>Standar</w:t>
      </w:r>
      <w:proofErr w:type="spellEnd"/>
      <w:proofErr w:type="gramEnd"/>
      <w:r w:rsidRPr="00324C60">
        <w:rPr>
          <w:rFonts w:ascii="Arial" w:hAnsi="Arial" w:cs="Arial"/>
          <w:lang w:val="en-US"/>
        </w:rPr>
        <w:t xml:space="preserve">  </w:t>
      </w:r>
      <w:proofErr w:type="spellStart"/>
      <w:r w:rsidRPr="00324C60">
        <w:rPr>
          <w:rFonts w:ascii="Arial" w:hAnsi="Arial" w:cs="Arial"/>
          <w:lang w:val="en-US"/>
        </w:rPr>
        <w:t>Pelayanan</w:t>
      </w:r>
      <w:proofErr w:type="spellEnd"/>
      <w:r w:rsidRPr="00324C60">
        <w:rPr>
          <w:rFonts w:ascii="Arial" w:hAnsi="Arial" w:cs="Arial"/>
          <w:lang w:val="en-US"/>
        </w:rPr>
        <w:t xml:space="preserve">  yang  </w:t>
      </w:r>
      <w:proofErr w:type="spellStart"/>
      <w:r w:rsidRPr="00324C60">
        <w:rPr>
          <w:rFonts w:ascii="Arial" w:hAnsi="Arial" w:cs="Arial"/>
          <w:lang w:val="en-US"/>
        </w:rPr>
        <w:t>terkait</w:t>
      </w:r>
      <w:proofErr w:type="spellEnd"/>
      <w:r w:rsidRPr="00324C60">
        <w:rPr>
          <w:rFonts w:ascii="Arial" w:hAnsi="Arial" w:cs="Arial"/>
          <w:lang w:val="en-US"/>
        </w:rPr>
        <w:t xml:space="preserve">  </w:t>
      </w:r>
      <w:proofErr w:type="spellStart"/>
      <w:r w:rsidRPr="00324C60">
        <w:rPr>
          <w:rFonts w:ascii="Arial" w:hAnsi="Arial" w:cs="Arial"/>
          <w:lang w:val="en-US"/>
        </w:rPr>
        <w:t>dengan</w:t>
      </w:r>
      <w:proofErr w:type="spellEnd"/>
      <w:r w:rsidRPr="00324C60">
        <w:rPr>
          <w:rFonts w:ascii="Arial" w:hAnsi="Arial" w:cs="Arial"/>
          <w:lang w:val="en-US"/>
        </w:rPr>
        <w:t xml:space="preserve">  proses  </w:t>
      </w:r>
      <w:proofErr w:type="spellStart"/>
      <w:r w:rsidRPr="00324C60">
        <w:rPr>
          <w:rFonts w:ascii="Arial" w:hAnsi="Arial" w:cs="Arial"/>
          <w:lang w:val="en-US"/>
        </w:rPr>
        <w:t>penyampaian</w:t>
      </w:r>
      <w:proofErr w:type="spellEnd"/>
      <w:r w:rsidRPr="00324C60">
        <w:rPr>
          <w:rFonts w:ascii="Arial" w:hAnsi="Arial" w:cs="Arial"/>
          <w:lang w:val="en-US"/>
        </w:rPr>
        <w:t xml:space="preserve"> </w:t>
      </w:r>
      <w:proofErr w:type="spellStart"/>
      <w:r w:rsidRPr="00324C60">
        <w:rPr>
          <w:rFonts w:ascii="Arial" w:hAnsi="Arial" w:cs="Arial"/>
          <w:lang w:val="en-US"/>
        </w:rPr>
        <w:t>pelayanan</w:t>
      </w:r>
      <w:proofErr w:type="spellEnd"/>
      <w:r w:rsidRPr="00324C60">
        <w:rPr>
          <w:rFonts w:ascii="Arial" w:hAnsi="Arial" w:cs="Arial"/>
          <w:lang w:val="en-US"/>
        </w:rPr>
        <w:t xml:space="preserve"> </w:t>
      </w:r>
      <w:proofErr w:type="spellStart"/>
      <w:r w:rsidRPr="00324C60">
        <w:rPr>
          <w:rFonts w:ascii="Arial" w:hAnsi="Arial" w:cs="Arial"/>
          <w:lang w:val="en-US"/>
        </w:rPr>
        <w:t>meliputi</w:t>
      </w:r>
      <w:proofErr w:type="spellEnd"/>
      <w:r w:rsidRPr="00324C60">
        <w:rPr>
          <w:rFonts w:ascii="Arial" w:hAnsi="Arial" w:cs="Arial"/>
          <w:lang w:val="en-US"/>
        </w:rPr>
        <w:t>: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656"/>
      </w:tblGrid>
      <w:tr w:rsidR="00540370" w:rsidRPr="00540370" w14:paraId="330C396A" w14:textId="77777777" w:rsidTr="00F00063">
        <w:trPr>
          <w:trHeight w:hRule="exact" w:val="307"/>
        </w:trPr>
        <w:tc>
          <w:tcPr>
            <w:tcW w:w="708" w:type="dxa"/>
          </w:tcPr>
          <w:p w14:paraId="68706D9F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</w:tcPr>
          <w:p w14:paraId="3C2A4999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40370">
              <w:rPr>
                <w:rFonts w:ascii="Arial" w:hAnsi="Arial" w:cs="Arial"/>
                <w:lang w:val="en-US"/>
              </w:rPr>
              <w:t>Komponen</w:t>
            </w:r>
            <w:proofErr w:type="spellEnd"/>
          </w:p>
        </w:tc>
        <w:tc>
          <w:tcPr>
            <w:tcW w:w="6656" w:type="dxa"/>
          </w:tcPr>
          <w:p w14:paraId="3D564E72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40370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540370" w:rsidRPr="00540370" w14:paraId="33C36AD4" w14:textId="77777777" w:rsidTr="00F00063">
        <w:trPr>
          <w:trHeight w:hRule="exact" w:val="3584"/>
        </w:trPr>
        <w:tc>
          <w:tcPr>
            <w:tcW w:w="708" w:type="dxa"/>
          </w:tcPr>
          <w:p w14:paraId="770374B7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</w:tcPr>
          <w:p w14:paraId="5AA18F2F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40370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02FEDDE9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40370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</w:tcPr>
          <w:p w14:paraId="0693F356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1.</w:t>
            </w:r>
            <w:r w:rsidRPr="00540370">
              <w:rPr>
                <w:rFonts w:ascii="Arial" w:hAnsi="Arial" w:cs="Arial"/>
                <w:lang w:val="en-US"/>
              </w:rPr>
              <w:tab/>
              <w:t xml:space="preserve">Surat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data Kawasan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TPS yang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memuat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detail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>.</w:t>
            </w:r>
          </w:p>
          <w:p w14:paraId="74EAECDA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 xml:space="preserve">2. 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pendukung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data terkait.</w:t>
            </w:r>
          </w:p>
          <w:p w14:paraId="738D6A62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3.</w:t>
            </w:r>
            <w:r w:rsidRPr="0054037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         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           dan/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kelengkapannya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r w:rsidRPr="00540370">
              <w:rPr>
                <w:rFonts w:ascii="Arial" w:hAnsi="Arial" w:cs="Arial"/>
                <w:i/>
                <w:lang w:val="en-US"/>
              </w:rPr>
              <w:t xml:space="preserve">hardcopy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Komputer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(SKP).</w:t>
            </w:r>
          </w:p>
          <w:p w14:paraId="1337249F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 xml:space="preserve">4. 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batas-batas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keluar</w:t>
            </w:r>
            <w:proofErr w:type="spellEnd"/>
          </w:p>
          <w:p w14:paraId="45849458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luas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daya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tampung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batas-</w:t>
            </w:r>
            <w:proofErr w:type="gramStart"/>
            <w:r w:rsidRPr="00540370">
              <w:rPr>
                <w:rFonts w:ascii="Arial" w:hAnsi="Arial" w:cs="Arial"/>
                <w:lang w:val="en-US"/>
              </w:rPr>
              <w:t>batas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tempat</w:t>
            </w:r>
            <w:proofErr w:type="spellEnd"/>
            <w:proofErr w:type="gramEnd"/>
            <w:r w:rsidRPr="0054037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dan/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tata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ruang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pada TPS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harus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>.</w:t>
            </w:r>
          </w:p>
          <w:p w14:paraId="0A3BD0BC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5.</w:t>
            </w:r>
            <w:r w:rsidRPr="00540370">
              <w:rPr>
                <w:rFonts w:ascii="Arial" w:hAnsi="Arial" w:cs="Arial"/>
                <w:lang w:val="en-US"/>
              </w:rPr>
              <w:tab/>
            </w:r>
            <w:proofErr w:type="gramStart"/>
            <w:r w:rsidRPr="00540370">
              <w:rPr>
                <w:rFonts w:ascii="Arial" w:hAnsi="Arial" w:cs="Arial"/>
                <w:lang w:val="en-US"/>
              </w:rPr>
              <w:t xml:space="preserve">Surat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Tugas</w:t>
            </w:r>
            <w:proofErr w:type="spellEnd"/>
            <w:proofErr w:type="gramEnd"/>
            <w:r w:rsidRPr="0054037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Lokasi  (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>).</w:t>
            </w:r>
          </w:p>
        </w:tc>
      </w:tr>
      <w:tr w:rsidR="00F00063" w:rsidRPr="00540370" w14:paraId="268A9898" w14:textId="77777777" w:rsidTr="00F00063">
        <w:trPr>
          <w:trHeight w:val="48"/>
        </w:trPr>
        <w:tc>
          <w:tcPr>
            <w:tcW w:w="708" w:type="dxa"/>
          </w:tcPr>
          <w:p w14:paraId="6AE61922" w14:textId="77777777" w:rsidR="00F00063" w:rsidRPr="00540370" w:rsidRDefault="00F00063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69" w:type="dxa"/>
          </w:tcPr>
          <w:p w14:paraId="185F308E" w14:textId="77777777" w:rsidR="00F00063" w:rsidRPr="00540370" w:rsidRDefault="00F00063" w:rsidP="0054037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40370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Mekanisme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656" w:type="dxa"/>
          </w:tcPr>
          <w:p w14:paraId="16D66D2A" w14:textId="77777777" w:rsidR="00F00063" w:rsidRPr="00540370" w:rsidRDefault="00F00063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1.</w:t>
            </w:r>
            <w:r w:rsidRPr="0054037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data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r w:rsidRPr="00540370">
              <w:rPr>
                <w:rFonts w:ascii="Arial" w:hAnsi="Arial" w:cs="Arial"/>
                <w:i/>
                <w:lang w:val="en-US"/>
              </w:rPr>
              <w:t xml:space="preserve">hardcopy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>.</w:t>
            </w:r>
          </w:p>
          <w:p w14:paraId="3B2692DD" w14:textId="77777777" w:rsidR="00F00063" w:rsidRPr="00540370" w:rsidRDefault="00F00063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2.</w:t>
            </w:r>
            <w:r w:rsidRPr="00540370">
              <w:rPr>
                <w:rFonts w:ascii="Arial" w:hAnsi="Arial" w:cs="Arial"/>
                <w:lang w:val="en-US"/>
              </w:rPr>
              <w:tab/>
              <w:t xml:space="preserve">SKP  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  KPU BC/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petugas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>.</w:t>
            </w:r>
          </w:p>
          <w:p w14:paraId="323254B1" w14:textId="77777777" w:rsidR="00F00063" w:rsidRPr="00540370" w:rsidRDefault="00F00063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a.</w:t>
            </w:r>
            <w:r w:rsidRPr="0054037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>.</w:t>
            </w:r>
          </w:p>
          <w:p w14:paraId="4FE7C92A" w14:textId="77777777" w:rsidR="00F00063" w:rsidRPr="00540370" w:rsidRDefault="00F00063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b.</w:t>
            </w:r>
            <w:r w:rsidRPr="00540370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4037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54037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terima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KPU BC/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>.</w:t>
            </w:r>
          </w:p>
          <w:p w14:paraId="0A1D3950" w14:textId="77777777" w:rsidR="00F00063" w:rsidRPr="00540370" w:rsidRDefault="00F00063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3.</w:t>
            </w:r>
            <w:r w:rsidRPr="0054037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KPU BC/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>.</w:t>
            </w:r>
          </w:p>
          <w:p w14:paraId="1E2C5881" w14:textId="77777777" w:rsidR="00F00063" w:rsidRPr="00540370" w:rsidRDefault="00F00063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tidak sesuai,</w:t>
            </w:r>
          </w:p>
          <w:p w14:paraId="264C074F" w14:textId="77777777" w:rsidR="00F00063" w:rsidRPr="00540370" w:rsidRDefault="00F00063" w:rsidP="0054037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4037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    KPU      BC    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kepada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>.</w:t>
            </w:r>
          </w:p>
          <w:p w14:paraId="4DC12F40" w14:textId="77777777" w:rsidR="00F00063" w:rsidRPr="00540370" w:rsidRDefault="00F00063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b.</w:t>
            </w:r>
            <w:r w:rsidRPr="00540370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4037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54037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dan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tim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>.</w:t>
            </w:r>
          </w:p>
          <w:p w14:paraId="073E8405" w14:textId="77777777" w:rsidR="00F00063" w:rsidRPr="00540370" w:rsidRDefault="00F00063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4.</w:t>
            </w:r>
            <w:r w:rsidRPr="0054037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batas-batas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keluar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luas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daya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tampung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batas-batas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tata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ruang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pada TPS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harus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>,</w:t>
            </w:r>
          </w:p>
          <w:p w14:paraId="045B5829" w14:textId="77777777" w:rsidR="00F00063" w:rsidRPr="00540370" w:rsidRDefault="00F00063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proofErr w:type="gramStart"/>
            <w:r w:rsidRPr="0054037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KPU</w:t>
            </w:r>
            <w:proofErr w:type="gramEnd"/>
            <w:r w:rsidRPr="00540370">
              <w:rPr>
                <w:rFonts w:ascii="Arial" w:hAnsi="Arial" w:cs="Arial"/>
                <w:lang w:val="en-US"/>
              </w:rPr>
              <w:t xml:space="preserve">  BC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Bea  dan</w:t>
            </w:r>
          </w:p>
          <w:p w14:paraId="3F51D40B" w14:textId="77777777" w:rsidR="00F00063" w:rsidRPr="00540370" w:rsidRDefault="00F00063" w:rsidP="0054037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4037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meneribitkan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Surat</w:t>
            </w:r>
          </w:p>
          <w:p w14:paraId="414077D9" w14:textId="77777777" w:rsidR="00F00063" w:rsidRPr="00540370" w:rsidRDefault="00F00063" w:rsidP="0054037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40370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Lokasi.</w:t>
            </w:r>
          </w:p>
          <w:p w14:paraId="61428F1B" w14:textId="77777777" w:rsidR="00F00063" w:rsidRPr="00540370" w:rsidRDefault="00F00063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b.</w:t>
            </w:r>
            <w:r w:rsidRPr="00540370">
              <w:rPr>
                <w:rFonts w:ascii="Arial" w:hAnsi="Arial" w:cs="Arial"/>
                <w:lang w:val="en-US"/>
              </w:rPr>
              <w:tab/>
              <w:t xml:space="preserve">Tim   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   Lokasi   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membuat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tim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>.</w:t>
            </w:r>
          </w:p>
          <w:p w14:paraId="5178DF64" w14:textId="77777777" w:rsidR="00F00063" w:rsidRPr="00540370" w:rsidRDefault="00F00063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c.</w:t>
            </w:r>
            <w:r w:rsidRPr="0054037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KPU BC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>.</w:t>
            </w:r>
          </w:p>
          <w:p w14:paraId="251EDE57" w14:textId="77777777" w:rsidR="00F00063" w:rsidRPr="00540370" w:rsidRDefault="00F00063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5.</w:t>
            </w:r>
            <w:r w:rsidRPr="0054037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KPU BC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data.</w:t>
            </w:r>
          </w:p>
          <w:p w14:paraId="2C446F5F" w14:textId="77777777" w:rsidR="00F00063" w:rsidRPr="00540370" w:rsidRDefault="00F00063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a.</w:t>
            </w:r>
            <w:r w:rsidRPr="0054037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proofErr w:type="gramStart"/>
            <w:r w:rsidRPr="00540370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,   </w:t>
            </w:r>
            <w:proofErr w:type="spellStart"/>
            <w:proofErr w:type="gramEnd"/>
            <w:r w:rsidRPr="0054037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 KPU   BC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Keputusan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Keputusan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dan/atau TPS.</w:t>
            </w:r>
          </w:p>
          <w:p w14:paraId="58715917" w14:textId="77777777" w:rsidR="00F00063" w:rsidRPr="00540370" w:rsidRDefault="00F00063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b.</w:t>
            </w:r>
            <w:r w:rsidRPr="0054037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KPU BC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>.</w:t>
            </w:r>
          </w:p>
          <w:p w14:paraId="51DD0160" w14:textId="0F73AF6F" w:rsidR="00F00063" w:rsidRPr="00540370" w:rsidRDefault="00F00063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6.</w:t>
            </w:r>
            <w:r w:rsidRPr="00540370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40370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menerima</w:t>
            </w:r>
            <w:proofErr w:type="spellEnd"/>
            <w:proofErr w:type="gramEnd"/>
            <w:r w:rsidRPr="00540370">
              <w:rPr>
                <w:rFonts w:ascii="Arial" w:hAnsi="Arial" w:cs="Arial"/>
                <w:lang w:val="en-US"/>
              </w:rPr>
              <w:t xml:space="preserve">  Keputusan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Keputusan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dan/atau TPS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lastRenderedPageBreak/>
              <w:t>disertai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secara hardcopy.</w:t>
            </w:r>
          </w:p>
        </w:tc>
      </w:tr>
      <w:tr w:rsidR="00540370" w14:paraId="5862ED27" w14:textId="77777777" w:rsidTr="00F00063">
        <w:trPr>
          <w:trHeight w:hRule="exact" w:val="1704"/>
        </w:trPr>
        <w:tc>
          <w:tcPr>
            <w:tcW w:w="708" w:type="dxa"/>
          </w:tcPr>
          <w:p w14:paraId="116445C8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lastRenderedPageBreak/>
              <w:t>3</w:t>
            </w:r>
          </w:p>
        </w:tc>
        <w:tc>
          <w:tcPr>
            <w:tcW w:w="2269" w:type="dxa"/>
          </w:tcPr>
          <w:p w14:paraId="4ED5C2FA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40370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Waktu</w:t>
            </w:r>
          </w:p>
          <w:p w14:paraId="79A5C8EF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40370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656" w:type="dxa"/>
          </w:tcPr>
          <w:p w14:paraId="681A6A0A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Paling lama 10 (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sepuluh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Keputusan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Keputusan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dan/atau TPS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KPU BC.</w:t>
            </w:r>
          </w:p>
        </w:tc>
      </w:tr>
      <w:tr w:rsidR="00540370" w14:paraId="2F3DB691" w14:textId="77777777" w:rsidTr="00F00063">
        <w:trPr>
          <w:trHeight w:hRule="exact" w:val="707"/>
        </w:trPr>
        <w:tc>
          <w:tcPr>
            <w:tcW w:w="708" w:type="dxa"/>
          </w:tcPr>
          <w:p w14:paraId="6630E41B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</w:tcPr>
          <w:p w14:paraId="7CABD212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40370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656" w:type="dxa"/>
          </w:tcPr>
          <w:p w14:paraId="66A6FCD0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40370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540370" w14:paraId="00F92C48" w14:textId="77777777" w:rsidTr="00F00063">
        <w:trPr>
          <w:trHeight w:hRule="exact" w:val="1129"/>
        </w:trPr>
        <w:tc>
          <w:tcPr>
            <w:tcW w:w="708" w:type="dxa"/>
          </w:tcPr>
          <w:p w14:paraId="2547E6B1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</w:tcPr>
          <w:p w14:paraId="5269EC1E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40370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</w:tcPr>
          <w:p w14:paraId="44941BBE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proofErr w:type="gramStart"/>
            <w:r w:rsidRPr="00540370">
              <w:rPr>
                <w:rFonts w:ascii="Arial" w:hAnsi="Arial" w:cs="Arial"/>
                <w:lang w:val="en-US"/>
              </w:rPr>
              <w:t>Keputusan  Atas</w:t>
            </w:r>
            <w:proofErr w:type="gramEnd"/>
            <w:r w:rsidRPr="00540370">
              <w:rPr>
                <w:rFonts w:ascii="Arial" w:hAnsi="Arial" w:cs="Arial"/>
                <w:lang w:val="en-US"/>
              </w:rPr>
              <w:t xml:space="preserve">  Nama  Menteri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Keputusan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dan/atau TPS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>.</w:t>
            </w:r>
          </w:p>
        </w:tc>
      </w:tr>
      <w:tr w:rsidR="00540370" w14:paraId="21EEE56A" w14:textId="77777777" w:rsidTr="00F00063">
        <w:trPr>
          <w:trHeight w:hRule="exact" w:val="3555"/>
        </w:trPr>
        <w:tc>
          <w:tcPr>
            <w:tcW w:w="708" w:type="dxa"/>
          </w:tcPr>
          <w:p w14:paraId="72247AFA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</w:tcPr>
          <w:p w14:paraId="7C8ECB31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40370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656" w:type="dxa"/>
          </w:tcPr>
          <w:p w14:paraId="0D1624A5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1.</w:t>
            </w:r>
            <w:r w:rsidRPr="0054037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540370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540370">
              <w:rPr>
                <w:rFonts w:ascii="Arial" w:hAnsi="Arial" w:cs="Arial"/>
                <w:lang w:val="en-US"/>
              </w:rPr>
              <w:t xml:space="preserve"> atau ke pengaduan</w:t>
            </w:r>
            <w:hyperlink r:id="rId8">
              <w:r w:rsidRPr="00540370">
                <w:rPr>
                  <w:rStyle w:val="Hyperlink"/>
                  <w:rFonts w:ascii="Arial" w:hAnsi="Arial" w:cs="Arial"/>
                  <w:lang w:val="en-US"/>
                </w:rPr>
                <w:t>.beacukai@customs.go.id</w:t>
              </w:r>
            </w:hyperlink>
          </w:p>
          <w:p w14:paraId="25887B93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2.</w:t>
            </w:r>
            <w:r w:rsidRPr="0054037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Internal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7FF981A0" w14:textId="77777777" w:rsidR="00540370" w:rsidRPr="00540370" w:rsidRDefault="00540370" w:rsidP="00540370">
            <w:pPr>
              <w:spacing w:after="0"/>
              <w:rPr>
                <w:rFonts w:ascii="Arial" w:hAnsi="Arial" w:cs="Arial"/>
                <w:lang w:val="en-US"/>
              </w:rPr>
            </w:pPr>
            <w:r w:rsidRPr="00540370">
              <w:rPr>
                <w:rFonts w:ascii="Arial" w:hAnsi="Arial" w:cs="Arial"/>
                <w:lang w:val="en-US"/>
              </w:rPr>
              <w:t>3.</w:t>
            </w:r>
            <w:r w:rsidRPr="0054037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540370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540370">
              <w:rPr>
                <w:rFonts w:ascii="Arial" w:hAnsi="Arial" w:cs="Arial"/>
                <w:lang w:val="en-US"/>
              </w:rPr>
              <w:t xml:space="preserve"> saran,    dan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540370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540370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7EA5A46C" w14:textId="77777777" w:rsidR="003E590B" w:rsidRPr="00DA0303" w:rsidRDefault="003E590B" w:rsidP="006A52FA">
      <w:pPr>
        <w:spacing w:after="0"/>
        <w:rPr>
          <w:rFonts w:ascii="Arial" w:hAnsi="Arial" w:cs="Arial"/>
          <w:lang w:val="en-US"/>
        </w:rPr>
      </w:pPr>
    </w:p>
    <w:p w14:paraId="326A5E77" w14:textId="77777777" w:rsidR="00F00063" w:rsidRPr="00F00063" w:rsidRDefault="00F00063" w:rsidP="00F00063">
      <w:pPr>
        <w:spacing w:after="0"/>
        <w:rPr>
          <w:rFonts w:ascii="Arial" w:hAnsi="Arial" w:cs="Arial"/>
          <w:lang w:val="en-US"/>
        </w:rPr>
      </w:pPr>
    </w:p>
    <w:sectPr w:rsidR="00F00063" w:rsidRPr="00F00063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485D5" w14:textId="77777777" w:rsidR="00792673" w:rsidRDefault="00792673">
      <w:pPr>
        <w:spacing w:after="0" w:line="240" w:lineRule="auto"/>
      </w:pPr>
      <w:r>
        <w:separator/>
      </w:r>
    </w:p>
  </w:endnote>
  <w:endnote w:type="continuationSeparator" w:id="0">
    <w:p w14:paraId="6D7C88E8" w14:textId="77777777" w:rsidR="00792673" w:rsidRDefault="0079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0DBFC" w14:textId="77777777" w:rsidR="00792673" w:rsidRDefault="00792673">
      <w:pPr>
        <w:spacing w:after="0" w:line="240" w:lineRule="auto"/>
      </w:pPr>
      <w:r>
        <w:separator/>
      </w:r>
    </w:p>
  </w:footnote>
  <w:footnote w:type="continuationSeparator" w:id="0">
    <w:p w14:paraId="450A2C7D" w14:textId="77777777" w:rsidR="00792673" w:rsidRDefault="00792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57E7D"/>
    <w:rsid w:val="000618FE"/>
    <w:rsid w:val="00081EE4"/>
    <w:rsid w:val="000F1168"/>
    <w:rsid w:val="00143DEB"/>
    <w:rsid w:val="00195FEB"/>
    <w:rsid w:val="001A0E32"/>
    <w:rsid w:val="00211752"/>
    <w:rsid w:val="002656C0"/>
    <w:rsid w:val="00272922"/>
    <w:rsid w:val="0028655C"/>
    <w:rsid w:val="002E5D14"/>
    <w:rsid w:val="00314608"/>
    <w:rsid w:val="00315786"/>
    <w:rsid w:val="00324C60"/>
    <w:rsid w:val="00386940"/>
    <w:rsid w:val="003E590B"/>
    <w:rsid w:val="00453ED6"/>
    <w:rsid w:val="004A233A"/>
    <w:rsid w:val="004B693E"/>
    <w:rsid w:val="004C010D"/>
    <w:rsid w:val="004C13DA"/>
    <w:rsid w:val="00540370"/>
    <w:rsid w:val="00556174"/>
    <w:rsid w:val="0057248B"/>
    <w:rsid w:val="005A1EFD"/>
    <w:rsid w:val="00613FF3"/>
    <w:rsid w:val="006211DE"/>
    <w:rsid w:val="006245A9"/>
    <w:rsid w:val="00625249"/>
    <w:rsid w:val="00645529"/>
    <w:rsid w:val="006627B1"/>
    <w:rsid w:val="00675373"/>
    <w:rsid w:val="006A52FA"/>
    <w:rsid w:val="006D643C"/>
    <w:rsid w:val="006F29AE"/>
    <w:rsid w:val="006F3626"/>
    <w:rsid w:val="00711B2D"/>
    <w:rsid w:val="00792673"/>
    <w:rsid w:val="007B582D"/>
    <w:rsid w:val="007E101E"/>
    <w:rsid w:val="007E4C2F"/>
    <w:rsid w:val="00831686"/>
    <w:rsid w:val="00867438"/>
    <w:rsid w:val="008A13DE"/>
    <w:rsid w:val="008B1D18"/>
    <w:rsid w:val="008C6953"/>
    <w:rsid w:val="008D4398"/>
    <w:rsid w:val="00A34D64"/>
    <w:rsid w:val="00B01330"/>
    <w:rsid w:val="00B94849"/>
    <w:rsid w:val="00BF44D3"/>
    <w:rsid w:val="00C308A6"/>
    <w:rsid w:val="00C61F58"/>
    <w:rsid w:val="00CB48EE"/>
    <w:rsid w:val="00D272F9"/>
    <w:rsid w:val="00D90D11"/>
    <w:rsid w:val="00DA0303"/>
    <w:rsid w:val="00DC70BD"/>
    <w:rsid w:val="00E22FFD"/>
    <w:rsid w:val="00E25352"/>
    <w:rsid w:val="00E61849"/>
    <w:rsid w:val="00E87535"/>
    <w:rsid w:val="00F00063"/>
    <w:rsid w:val="00F2070D"/>
    <w:rsid w:val="00F30630"/>
    <w:rsid w:val="00F95619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557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2025-07-10T14:54:00Z</dcterms:created>
  <dcterms:modified xsi:type="dcterms:W3CDTF">2025-07-31T04:13:00Z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