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6B5BA5E9" w:rsidR="000618FE" w:rsidRPr="0057248B" w:rsidRDefault="005A1EFD" w:rsidP="00324C6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7E4C2F" w:rsidRPr="007E4C2F">
        <w:rPr>
          <w:rFonts w:ascii="Arial" w:hAnsi="Arial" w:cs="Arial"/>
        </w:rPr>
        <w:t>Permohonan</w:t>
      </w:r>
      <w:proofErr w:type="spellEnd"/>
      <w:r w:rsidR="007E4C2F" w:rsidRPr="007E4C2F">
        <w:rPr>
          <w:rFonts w:ascii="Arial" w:hAnsi="Arial" w:cs="Arial"/>
        </w:rPr>
        <w:t xml:space="preserve"> </w:t>
      </w:r>
      <w:proofErr w:type="spellStart"/>
      <w:r w:rsidR="007E4C2F" w:rsidRPr="007E4C2F">
        <w:rPr>
          <w:rFonts w:ascii="Arial" w:hAnsi="Arial" w:cs="Arial"/>
        </w:rPr>
        <w:t>Pelayanan</w:t>
      </w:r>
      <w:proofErr w:type="spellEnd"/>
      <w:r w:rsidR="007E4C2F" w:rsidRPr="007E4C2F">
        <w:rPr>
          <w:rFonts w:ascii="Arial" w:hAnsi="Arial" w:cs="Arial"/>
        </w:rPr>
        <w:t xml:space="preserve"> </w:t>
      </w:r>
      <w:proofErr w:type="spellStart"/>
      <w:r w:rsidR="007E4C2F" w:rsidRPr="007E4C2F">
        <w:rPr>
          <w:rFonts w:ascii="Arial" w:hAnsi="Arial" w:cs="Arial"/>
        </w:rPr>
        <w:t>Pemindahan</w:t>
      </w:r>
      <w:proofErr w:type="spellEnd"/>
      <w:r w:rsidR="007E4C2F" w:rsidRPr="007E4C2F">
        <w:rPr>
          <w:rFonts w:ascii="Arial" w:hAnsi="Arial" w:cs="Arial"/>
        </w:rPr>
        <w:t xml:space="preserve"> Lokasi </w:t>
      </w:r>
      <w:proofErr w:type="spellStart"/>
      <w:r w:rsidR="007E4C2F" w:rsidRPr="007E4C2F">
        <w:rPr>
          <w:rFonts w:ascii="Arial" w:hAnsi="Arial" w:cs="Arial"/>
        </w:rPr>
        <w:t>Penimbunan</w:t>
      </w:r>
      <w:proofErr w:type="spellEnd"/>
      <w:r w:rsidR="007E4C2F" w:rsidRPr="007E4C2F">
        <w:rPr>
          <w:rFonts w:ascii="Arial" w:hAnsi="Arial" w:cs="Arial"/>
        </w:rPr>
        <w:t xml:space="preserve"> (PLP</w:t>
      </w:r>
      <w:r w:rsidR="007E4C2F">
        <w:rPr>
          <w:rFonts w:ascii="Arial" w:hAnsi="Arial" w:cs="Arial"/>
        </w:rPr>
        <w:t>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5715E237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7E4C2F">
        <w:rPr>
          <w:rFonts w:ascii="Arial" w:hAnsi="Arial" w:cs="Arial"/>
        </w:rPr>
        <w:t>9</w:t>
      </w:r>
    </w:p>
    <w:p w14:paraId="3CDD4F6C" w14:textId="5FAB4DE1" w:rsidR="00324C60" w:rsidRPr="007E4C2F" w:rsidRDefault="00324C60" w:rsidP="00324C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proofErr w:type="gramStart"/>
      <w:r w:rsidRPr="00324C60">
        <w:rPr>
          <w:rFonts w:ascii="Arial" w:hAnsi="Arial" w:cs="Arial"/>
          <w:lang w:val="en-US"/>
        </w:rPr>
        <w:t>Komponen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Standar</w:t>
      </w:r>
      <w:proofErr w:type="spellEnd"/>
      <w:proofErr w:type="gram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 yang  </w:t>
      </w:r>
      <w:proofErr w:type="spellStart"/>
      <w:r w:rsidRPr="00324C60">
        <w:rPr>
          <w:rFonts w:ascii="Arial" w:hAnsi="Arial" w:cs="Arial"/>
          <w:lang w:val="en-US"/>
        </w:rPr>
        <w:t>terkait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dengan</w:t>
      </w:r>
      <w:proofErr w:type="spellEnd"/>
      <w:r w:rsidRPr="00324C60">
        <w:rPr>
          <w:rFonts w:ascii="Arial" w:hAnsi="Arial" w:cs="Arial"/>
          <w:lang w:val="en-US"/>
        </w:rPr>
        <w:t xml:space="preserve">  proses  </w:t>
      </w:r>
      <w:proofErr w:type="spellStart"/>
      <w:r w:rsidRPr="00324C60">
        <w:rPr>
          <w:rFonts w:ascii="Arial" w:hAnsi="Arial" w:cs="Arial"/>
          <w:lang w:val="en-US"/>
        </w:rPr>
        <w:t>penyampaian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meliputi</w:t>
      </w:r>
      <w:proofErr w:type="spellEnd"/>
      <w:r w:rsidRPr="00324C60">
        <w:rPr>
          <w:rFonts w:ascii="Arial" w:hAnsi="Arial" w:cs="Arial"/>
          <w:lang w:val="en-U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1724"/>
        <w:gridCol w:w="7509"/>
      </w:tblGrid>
      <w:tr w:rsidR="00D272F9" w:rsidRPr="00D272F9" w14:paraId="7F22552E" w14:textId="77777777" w:rsidTr="00BF44D3">
        <w:trPr>
          <w:trHeight w:hRule="exact" w:val="30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B89AB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24D0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A022C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D272F9" w:rsidRPr="00D272F9" w14:paraId="04A2AB5B" w14:textId="77777777" w:rsidTr="00BF44D3">
        <w:trPr>
          <w:trHeight w:hRule="exact" w:val="1263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AC802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7F021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1D4286A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18E4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1.</w:t>
            </w:r>
            <w:r w:rsidRPr="00D272F9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PLP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sebanyak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4 (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empat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rangkap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r w:rsidRPr="00D272F9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</w:t>
            </w:r>
          </w:p>
          <w:p w14:paraId="2B0AA704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2.   PLP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52B6032B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a.</w:t>
            </w:r>
            <w:r w:rsidRPr="00D272F9">
              <w:rPr>
                <w:rFonts w:ascii="Arial" w:hAnsi="Arial" w:cs="Arial"/>
                <w:lang w:val="en-US"/>
              </w:rPr>
              <w:tab/>
              <w:t xml:space="preserve">Tingkat   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penumpukan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</w:t>
            </w:r>
            <w:r w:rsidRPr="00D272F9">
              <w:rPr>
                <w:rFonts w:ascii="Arial" w:hAnsi="Arial" w:cs="Arial"/>
                <w:i/>
                <w:lang w:val="en-US"/>
              </w:rPr>
              <w:t>yard occupancy ratio</w:t>
            </w:r>
            <w:r w:rsidRPr="00D272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tingkat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gudang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</w:t>
            </w:r>
            <w:r w:rsidRPr="00D272F9">
              <w:rPr>
                <w:rFonts w:ascii="Arial" w:hAnsi="Arial" w:cs="Arial"/>
                <w:i/>
                <w:lang w:val="en-US"/>
              </w:rPr>
              <w:t>shed occupancy ratio</w:t>
            </w:r>
            <w:r w:rsidRPr="00D272F9">
              <w:rPr>
                <w:rFonts w:ascii="Arial" w:hAnsi="Arial" w:cs="Arial"/>
                <w:lang w:val="en-US"/>
              </w:rPr>
              <w:t xml:space="preserve">) TPS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utilisasi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fasilitas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bertanggung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jawab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Pelabuhan atau Bandar Udara.</w:t>
            </w:r>
          </w:p>
          <w:p w14:paraId="2BA463BC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b.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gramStart"/>
            <w:r w:rsidRPr="00D272F9">
              <w:rPr>
                <w:rFonts w:ascii="Arial" w:hAnsi="Arial" w:cs="Arial"/>
                <w:lang w:val="en-US"/>
              </w:rPr>
              <w:t>TPS  di</w:t>
            </w:r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Pelabuhan  atau  Bandar  Udara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5C92F85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tersedia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yang</w:t>
            </w:r>
          </w:p>
          <w:p w14:paraId="20C0DD36" w14:textId="77777777" w:rsid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menimbun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konsolidasi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berbahaya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sifat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merusak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mempengaruhi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lain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, dan/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memerlukan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instalasi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716DDC8E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2)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Tersedia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menimbun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huruf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a,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tingkat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kapasitas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utilisasi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fasilitas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</w:t>
            </w:r>
          </w:p>
          <w:p w14:paraId="1EB3270E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9EDF41D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c.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1  (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)  master airway bill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ditujukan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perusahaan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jasa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pengurusan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transportasi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(freight forwarder) dan/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jasa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pos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berkedudukan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pada TPS lain;</w:t>
            </w:r>
          </w:p>
          <w:p w14:paraId="18BAE6F0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d.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  yang  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karena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karakteristiknya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memerlukan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segera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(rush handling)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lain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disediakan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segera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</w:t>
            </w:r>
          </w:p>
          <w:p w14:paraId="553A35F7" w14:textId="2832A938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e.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dimuat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kantor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pos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diselesaikan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pabeannya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lain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layanan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pos; atau</w:t>
            </w:r>
          </w:p>
          <w:p w14:paraId="35352816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f.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pertimbangan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dimungkinkan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terjadi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stagnasi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terjadi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keadaan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darurat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TPS.</w:t>
            </w:r>
          </w:p>
          <w:p w14:paraId="534FA849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3.</w:t>
            </w:r>
            <w:r w:rsidRPr="00D272F9">
              <w:rPr>
                <w:rFonts w:ascii="Arial" w:hAnsi="Arial" w:cs="Arial"/>
                <w:lang w:val="en-US"/>
              </w:rPr>
              <w:tab/>
              <w:t xml:space="preserve">PLP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PLP:</w:t>
            </w:r>
          </w:p>
          <w:p w14:paraId="31F7DF9F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a.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) master airway bill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ditujukan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perusahaan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jasa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pengurusan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transportasi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(freight forwarder) dan/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pos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berkedudukan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pada TPS lain;</w:t>
            </w:r>
          </w:p>
          <w:p w14:paraId="0D4AAE35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b.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kantor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pos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diselesaikan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pabeannya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lain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layanan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pos; atau</w:t>
            </w:r>
          </w:p>
          <w:p w14:paraId="0509D9C2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pertimbangan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Kantor</w:t>
            </w:r>
          </w:p>
          <w:p w14:paraId="65F3AB49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terjadi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keadaan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darurat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mendapat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TPS.</w:t>
            </w:r>
          </w:p>
          <w:p w14:paraId="4FFEF81E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4.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) kali PLP,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terjadi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karena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keadaan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darurat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  <w:p w14:paraId="0D4E01AB" w14:textId="0381869F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5.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SKP/TPS   Online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Media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Penyimpanan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(MPDE)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</w:tc>
      </w:tr>
      <w:tr w:rsidR="00D272F9" w14:paraId="36E79099" w14:textId="77777777" w:rsidTr="00BF44D3">
        <w:trPr>
          <w:trHeight w:hRule="exact" w:val="1402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87CB1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4694B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37AA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1.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SKP/TPS Online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hardcopy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  <w:p w14:paraId="53263382" w14:textId="77777777" w:rsid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2.   SKP/TPS Online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6FE33B93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a.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tanda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lengkap dan benar.</w:t>
            </w:r>
          </w:p>
          <w:p w14:paraId="7B7162BF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b.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tidak sesuai.</w:t>
            </w:r>
          </w:p>
          <w:p w14:paraId="47E62C6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3.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perlu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oleh unit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terlebih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dahulu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oleh unit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  <w:p w14:paraId="64423E5D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4.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5C5F528C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a.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data</w:t>
            </w:r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yang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tercantum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tercantum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dalam manifest;</w:t>
            </w:r>
          </w:p>
          <w:p w14:paraId="4FEE99C1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Pemenuhan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alasan</w:t>
            </w:r>
            <w:proofErr w:type="spellEnd"/>
          </w:p>
          <w:p w14:paraId="0F8D533D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 dan</w:t>
            </w:r>
          </w:p>
          <w:p w14:paraId="3BBF01A2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c.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kewajiban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bahwa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  <w:p w14:paraId="29AE7FB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5.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pada pos manifest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mendistribusikan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TPS.</w:t>
            </w:r>
          </w:p>
          <w:p w14:paraId="26665D7C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</w:t>
            </w:r>
          </w:p>
          <w:p w14:paraId="401D14E5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36B76D8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a.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di Kantor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  <w:p w14:paraId="35F1DA2A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pengeluaran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</w:p>
          <w:p w14:paraId="1A4B5C5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tercantum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  <w:p w14:paraId="582262B3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7.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pencocokan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Asal:</w:t>
            </w:r>
          </w:p>
          <w:p w14:paraId="3A3158DA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 dan/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122A6549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pengawalan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</w:t>
            </w:r>
          </w:p>
          <w:p w14:paraId="7F7C5CEF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Melayani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</w:t>
            </w:r>
          </w:p>
          <w:p w14:paraId="61063E99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c.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catatan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pada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</w:t>
            </w:r>
          </w:p>
          <w:p w14:paraId="20DF9D4F" w14:textId="479C6480" w:rsid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d.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TPS.</w:t>
            </w:r>
          </w:p>
          <w:p w14:paraId="1A6EA518" w14:textId="77777777" w:rsid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8B17E69" w14:textId="77777777" w:rsid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B9C514A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D272F9" w14:paraId="6372FA86" w14:textId="77777777" w:rsidTr="00BF44D3">
        <w:trPr>
          <w:trHeight w:hRule="exact" w:val="722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5240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0DC9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D1C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8.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pencocokan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menolak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menyerahkannya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di Kantor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lanjut.</w:t>
            </w:r>
          </w:p>
          <w:p w14:paraId="4E299F80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9.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2DD8D40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kemudian</w:t>
            </w:r>
            <w:proofErr w:type="spellEnd"/>
          </w:p>
          <w:p w14:paraId="724B0B46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Pemohon</w:t>
            </w:r>
            <w:proofErr w:type="spellEnd"/>
          </w:p>
          <w:p w14:paraId="43FC6A80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b.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pemasukan</w:t>
            </w:r>
            <w:proofErr w:type="spellEnd"/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tercantum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  <w:p w14:paraId="458E83E5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pencocokan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utuh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baik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0766C86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Membuka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</w:t>
            </w:r>
          </w:p>
          <w:p w14:paraId="0D22D39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b.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pada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 dan</w:t>
            </w:r>
          </w:p>
          <w:p w14:paraId="0C1BF5DD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c.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di Kantor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TPS Tujuan</w:t>
            </w:r>
          </w:p>
          <w:p w14:paraId="27B3E6FE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11.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pencocokan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rusak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utuh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baik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:</w:t>
            </w:r>
          </w:p>
          <w:p w14:paraId="3BB1719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a.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ketidaksesuaian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kerusakan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PLP; dan</w:t>
            </w:r>
          </w:p>
          <w:p w14:paraId="215FAD76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PLP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kepada</w:t>
            </w:r>
            <w:proofErr w:type="spellEnd"/>
          </w:p>
          <w:p w14:paraId="6E8E482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Unit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Pengawasan</w:t>
            </w:r>
            <w:proofErr w:type="spellEnd"/>
          </w:p>
        </w:tc>
      </w:tr>
      <w:tr w:rsidR="00D272F9" w14:paraId="3A23859F" w14:textId="77777777" w:rsidTr="00BF44D3">
        <w:trPr>
          <w:trHeight w:hRule="exact" w:val="130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D85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596DC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Waktu</w:t>
            </w:r>
          </w:p>
          <w:p w14:paraId="4F096F8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886AE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Paling lama 1 (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berikutnya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seluruhnya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PLP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.</w:t>
            </w:r>
          </w:p>
        </w:tc>
      </w:tr>
      <w:tr w:rsidR="00D272F9" w14:paraId="233A63A7" w14:textId="77777777" w:rsidTr="00BF44D3">
        <w:trPr>
          <w:trHeight w:hRule="exact" w:val="60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9F861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A965B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6D0F1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D272F9" w14:paraId="033FFBFF" w14:textId="77777777" w:rsidTr="00BF44D3">
        <w:trPr>
          <w:trHeight w:hRule="exact" w:val="155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DCDB1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8AAD6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E9BAD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1.</w:t>
            </w:r>
            <w:r w:rsidRPr="00D272F9">
              <w:rPr>
                <w:rFonts w:ascii="Arial" w:hAnsi="Arial" w:cs="Arial"/>
                <w:lang w:val="en-US"/>
              </w:rPr>
              <w:tab/>
              <w:t xml:space="preserve">Surat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pemindahan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; atau</w:t>
            </w:r>
          </w:p>
          <w:p w14:paraId="0C06FDB7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</w:tc>
      </w:tr>
      <w:tr w:rsidR="00D272F9" w14:paraId="0313F172" w14:textId="77777777" w:rsidTr="00BF44D3">
        <w:trPr>
          <w:trHeight w:hRule="exact" w:val="320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3270D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E728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9B450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1.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D272F9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D272F9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D272F9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3C18346D" w14:textId="68A0434F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2.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(021) 4890966 dan</w:t>
            </w:r>
            <w: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07A0110B" w14:textId="77777777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r w:rsidRPr="00D272F9">
              <w:rPr>
                <w:rFonts w:ascii="Arial" w:hAnsi="Arial" w:cs="Arial"/>
                <w:lang w:val="en-US"/>
              </w:rPr>
              <w:t>3.</w:t>
            </w:r>
            <w:r w:rsidRPr="00D272F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D272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D272F9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saluran</w:t>
            </w:r>
            <w:proofErr w:type="spellEnd"/>
          </w:p>
          <w:p w14:paraId="25171F2E" w14:textId="22BA8580" w:rsidR="00D272F9" w:rsidRPr="00D272F9" w:rsidRDefault="00D272F9" w:rsidP="00D272F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272F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272F9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D272F9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47C1A83" w14:textId="0D8F3F10" w:rsidR="00BF44D3" w:rsidRDefault="00BF44D3" w:rsidP="007E4C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B7311B8" w14:textId="77777777" w:rsidR="00BF44D3" w:rsidRDefault="00BF44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1FC0FD" w14:textId="77777777" w:rsidR="00BF44D3" w:rsidRPr="00BF44D3" w:rsidRDefault="00BF44D3" w:rsidP="00BF44D3">
      <w:pPr>
        <w:spacing w:after="0"/>
        <w:rPr>
          <w:rFonts w:ascii="Arial" w:hAnsi="Arial" w:cs="Arial"/>
        </w:rPr>
      </w:pPr>
    </w:p>
    <w:sectPr w:rsidR="00BF44D3" w:rsidRPr="00BF44D3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A338" w14:textId="77777777" w:rsidR="003F61ED" w:rsidRDefault="003F61ED">
      <w:pPr>
        <w:spacing w:after="0" w:line="240" w:lineRule="auto"/>
      </w:pPr>
      <w:r>
        <w:separator/>
      </w:r>
    </w:p>
  </w:endnote>
  <w:endnote w:type="continuationSeparator" w:id="0">
    <w:p w14:paraId="55996320" w14:textId="77777777" w:rsidR="003F61ED" w:rsidRDefault="003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40F5" w14:textId="77777777" w:rsidR="003F61ED" w:rsidRDefault="003F61ED">
      <w:pPr>
        <w:spacing w:after="0" w:line="240" w:lineRule="auto"/>
      </w:pPr>
      <w:r>
        <w:separator/>
      </w:r>
    </w:p>
  </w:footnote>
  <w:footnote w:type="continuationSeparator" w:id="0">
    <w:p w14:paraId="2695B8CA" w14:textId="77777777" w:rsidR="003F61ED" w:rsidRDefault="003F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95FEB"/>
    <w:rsid w:val="001A0E32"/>
    <w:rsid w:val="00211752"/>
    <w:rsid w:val="002656C0"/>
    <w:rsid w:val="00272922"/>
    <w:rsid w:val="0028655C"/>
    <w:rsid w:val="002E5D14"/>
    <w:rsid w:val="00314608"/>
    <w:rsid w:val="00324C60"/>
    <w:rsid w:val="003F61ED"/>
    <w:rsid w:val="004A233A"/>
    <w:rsid w:val="004B693E"/>
    <w:rsid w:val="004C010D"/>
    <w:rsid w:val="004C13DA"/>
    <w:rsid w:val="0057248B"/>
    <w:rsid w:val="005A1EFD"/>
    <w:rsid w:val="00613FF3"/>
    <w:rsid w:val="006211DE"/>
    <w:rsid w:val="006245A9"/>
    <w:rsid w:val="006627B1"/>
    <w:rsid w:val="00675373"/>
    <w:rsid w:val="006D643C"/>
    <w:rsid w:val="006F3626"/>
    <w:rsid w:val="00711B2D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937668"/>
    <w:rsid w:val="00A34D64"/>
    <w:rsid w:val="00B01330"/>
    <w:rsid w:val="00B94849"/>
    <w:rsid w:val="00BF44D3"/>
    <w:rsid w:val="00C308A6"/>
    <w:rsid w:val="00C61F58"/>
    <w:rsid w:val="00CB48EE"/>
    <w:rsid w:val="00D272F9"/>
    <w:rsid w:val="00D90D11"/>
    <w:rsid w:val="00E22FFD"/>
    <w:rsid w:val="00E25352"/>
    <w:rsid w:val="00E61849"/>
    <w:rsid w:val="00F2070D"/>
    <w:rsid w:val="00F30630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949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2025-07-10T09:34:00Z</dcterms:created>
  <dcterms:modified xsi:type="dcterms:W3CDTF">2025-07-31T04:11:00Z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