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59C4705" w:rsidR="000618FE" w:rsidRPr="0057248B" w:rsidRDefault="005A1EFD" w:rsidP="008C695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8C6953" w:rsidRPr="008C6953">
        <w:rPr>
          <w:rFonts w:ascii="Arial" w:hAnsi="Arial" w:cs="Arial"/>
        </w:rPr>
        <w:t>Pelayanan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Izin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Pembongkaran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Barang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Impor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dari</w:t>
      </w:r>
      <w:proofErr w:type="spellEnd"/>
      <w:r w:rsidR="008C6953" w:rsidRPr="008C6953">
        <w:rPr>
          <w:rFonts w:ascii="Arial" w:hAnsi="Arial" w:cs="Arial"/>
        </w:rPr>
        <w:t xml:space="preserve"> Sarana </w:t>
      </w:r>
      <w:proofErr w:type="spellStart"/>
      <w:r w:rsidR="008C6953" w:rsidRPr="008C6953">
        <w:rPr>
          <w:rFonts w:ascii="Arial" w:hAnsi="Arial" w:cs="Arial"/>
        </w:rPr>
        <w:t>Pengangkut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Laut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ke</w:t>
      </w:r>
      <w:proofErr w:type="spellEnd"/>
      <w:r w:rsidR="008C6953">
        <w:rPr>
          <w:rFonts w:ascii="Arial" w:hAnsi="Arial" w:cs="Arial"/>
        </w:rPr>
        <w:t xml:space="preserve"> </w:t>
      </w:r>
      <w:r w:rsidR="008C6953" w:rsidRPr="008C6953">
        <w:rPr>
          <w:rFonts w:ascii="Arial" w:hAnsi="Arial" w:cs="Arial"/>
        </w:rPr>
        <w:t xml:space="preserve">Sarana </w:t>
      </w:r>
      <w:proofErr w:type="spellStart"/>
      <w:r w:rsidR="008C6953" w:rsidRPr="008C6953">
        <w:rPr>
          <w:rFonts w:ascii="Arial" w:hAnsi="Arial" w:cs="Arial"/>
        </w:rPr>
        <w:t>Pengangkut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Laut</w:t>
      </w:r>
      <w:proofErr w:type="spellEnd"/>
      <w:r w:rsidR="008C6953" w:rsidRPr="008C6953">
        <w:rPr>
          <w:rFonts w:ascii="Arial" w:hAnsi="Arial" w:cs="Arial"/>
        </w:rPr>
        <w:t xml:space="preserve"> </w:t>
      </w:r>
      <w:proofErr w:type="spellStart"/>
      <w:r w:rsidR="008C6953" w:rsidRPr="008C6953">
        <w:rPr>
          <w:rFonts w:ascii="Arial" w:hAnsi="Arial" w:cs="Arial"/>
        </w:rPr>
        <w:t>Lainnya</w:t>
      </w:r>
      <w:proofErr w:type="spellEnd"/>
      <w:r w:rsidR="008C6953" w:rsidRPr="008C6953">
        <w:rPr>
          <w:rFonts w:ascii="Arial" w:hAnsi="Arial" w:cs="Arial"/>
        </w:rPr>
        <w:t xml:space="preserve"> yang </w:t>
      </w:r>
      <w:proofErr w:type="spellStart"/>
      <w:r w:rsidR="008C6953" w:rsidRPr="008C6953">
        <w:rPr>
          <w:rFonts w:ascii="Arial" w:hAnsi="Arial" w:cs="Arial"/>
        </w:rPr>
        <w:t>Dilakukan</w:t>
      </w:r>
      <w:proofErr w:type="spellEnd"/>
      <w:r w:rsidR="008C6953" w:rsidRPr="008C6953">
        <w:rPr>
          <w:rFonts w:ascii="Arial" w:hAnsi="Arial" w:cs="Arial"/>
        </w:rPr>
        <w:t xml:space="preserve"> di </w:t>
      </w:r>
      <w:proofErr w:type="spellStart"/>
      <w:r w:rsidR="008C6953" w:rsidRPr="008C6953">
        <w:rPr>
          <w:rFonts w:ascii="Arial" w:hAnsi="Arial" w:cs="Arial"/>
        </w:rPr>
        <w:t>Luar</w:t>
      </w:r>
      <w:proofErr w:type="spellEnd"/>
      <w:r w:rsidR="008C6953" w:rsidRPr="008C6953">
        <w:rPr>
          <w:rFonts w:ascii="Arial" w:hAnsi="Arial" w:cs="Arial"/>
        </w:rPr>
        <w:t xml:space="preserve"> Pelabuhan (</w:t>
      </w:r>
      <w:proofErr w:type="spellStart"/>
      <w:r w:rsidR="008C6953" w:rsidRPr="008C6953">
        <w:rPr>
          <w:rFonts w:ascii="Arial" w:hAnsi="Arial" w:cs="Arial"/>
        </w:rPr>
        <w:t>Redee</w:t>
      </w:r>
      <w:proofErr w:type="spellEnd"/>
      <w:r w:rsidR="008C6953" w:rsidRPr="008C6953">
        <w:rPr>
          <w:rFonts w:ascii="Arial" w:hAnsi="Arial" w:cs="Arial"/>
        </w:rPr>
        <w:t>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6405E03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8C6953">
        <w:rPr>
          <w:rFonts w:ascii="Arial" w:hAnsi="Arial" w:cs="Arial"/>
        </w:rPr>
        <w:t>7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8C6953" w:rsidRPr="008C6953" w14:paraId="481C9F06" w14:textId="77777777" w:rsidTr="008C6953">
        <w:trPr>
          <w:trHeight w:hRule="exact" w:val="3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ED52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4459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4D0D7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8C6953" w:rsidRPr="008C6953" w14:paraId="2206EDF5" w14:textId="77777777" w:rsidTr="008C6953">
        <w:trPr>
          <w:trHeight w:hRule="exact" w:val="581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77A2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3C25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F173D6B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13E0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1.</w:t>
            </w:r>
            <w:r w:rsidRPr="008C6953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Pelabuhan (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Redee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); dan/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;</w:t>
            </w:r>
          </w:p>
          <w:p w14:paraId="23B368B2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2.</w:t>
            </w:r>
            <w:r w:rsidRPr="008C6953">
              <w:rPr>
                <w:rFonts w:ascii="Arial" w:hAnsi="Arial" w:cs="Arial"/>
                <w:lang w:val="en-US"/>
              </w:rPr>
              <w:tab/>
              <w:t xml:space="preserve">Surat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di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selain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34C432DB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3.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Barang</w:t>
            </w:r>
            <w:proofErr w:type="spellEnd"/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sandar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dermaga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65DFCC41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4.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impor</w:t>
            </w:r>
            <w:proofErr w:type="spellEnd"/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  yang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dibongkar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wajib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:</w:t>
            </w:r>
          </w:p>
          <w:p w14:paraId="55ABCB81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a.</w:t>
            </w:r>
            <w:r w:rsidRPr="008C6953">
              <w:rPr>
                <w:rFonts w:ascii="Arial" w:hAnsi="Arial" w:cs="Arial"/>
                <w:lang w:val="en-US"/>
              </w:rPr>
              <w:tab/>
              <w:t xml:space="preserve">Kawasan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jalur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3AAAF14D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b.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mendapat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4AF7DDDB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5.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Media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Penyimpanan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(MPDE)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</w:tc>
      </w:tr>
      <w:tr w:rsidR="008C6953" w:rsidRPr="008C6953" w14:paraId="7EABF303" w14:textId="77777777" w:rsidTr="008C6953">
        <w:trPr>
          <w:trHeight w:hRule="exact" w:val="700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89D8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C2C5C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C03C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1.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r w:rsidRPr="008C6953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4A11662F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 xml:space="preserve">2.   SKP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:</w:t>
            </w:r>
          </w:p>
          <w:p w14:paraId="61497F58" w14:textId="77777777" w:rsidR="008C6953" w:rsidRDefault="008C6953" w:rsidP="008C6953">
            <w:pPr>
              <w:spacing w:after="0"/>
            </w:pPr>
            <w:r w:rsidRPr="008C6953">
              <w:rPr>
                <w:rFonts w:ascii="Arial" w:hAnsi="Arial" w:cs="Arial"/>
                <w:lang w:val="en-US"/>
              </w:rPr>
              <w:t>a.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  <w:r>
              <w:t xml:space="preserve"> </w:t>
            </w:r>
          </w:p>
          <w:p w14:paraId="3A768566" w14:textId="712CDDE5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b.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6FE86B80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3.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4270F859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4.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persyaratan</w:t>
            </w:r>
            <w:proofErr w:type="spellEnd"/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Kantor 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02F44913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5.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Kantor 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persertujuan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  <w:p w14:paraId="1889EF3F" w14:textId="70A4101A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6.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</w:tc>
      </w:tr>
      <w:tr w:rsidR="008C6953" w14:paraId="0039BCD7" w14:textId="77777777" w:rsidTr="008C6953">
        <w:trPr>
          <w:trHeight w:hRule="exact" w:val="325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BB226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4648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Waktu</w:t>
            </w:r>
          </w:p>
          <w:p w14:paraId="11DAEFE8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5028" w14:textId="6F38044C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/Surat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.</w:t>
            </w:r>
          </w:p>
        </w:tc>
      </w:tr>
      <w:tr w:rsidR="008C6953" w14:paraId="36985B0A" w14:textId="77777777" w:rsidTr="008C6953">
        <w:trPr>
          <w:trHeight w:hRule="exact" w:val="84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E4152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CFFE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4060A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8C6953" w14:paraId="046B4082" w14:textId="77777777" w:rsidTr="008C6953">
        <w:trPr>
          <w:trHeight w:hRule="exact" w:val="128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96B53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6F6B7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A0B9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1.</w:t>
            </w:r>
            <w:r w:rsidRPr="008C6953">
              <w:rPr>
                <w:rFonts w:ascii="Arial" w:hAnsi="Arial" w:cs="Arial"/>
                <w:lang w:val="en-US"/>
              </w:rPr>
              <w:tab/>
              <w:t xml:space="preserve">Surat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Sarana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Pelabuhan;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3A69B5AB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8C6953" w14:paraId="780135B2" w14:textId="77777777" w:rsidTr="008C6953">
        <w:trPr>
          <w:trHeight w:hRule="exact" w:val="368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7779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11EF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8C6953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C169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1.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Saran,   dan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8C6953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pengaduan</w:t>
            </w:r>
            <w:hyperlink r:id="rId8">
              <w:r w:rsidRPr="008C6953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4D6ACD7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2.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Jl. Ahmad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Yani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By Pass -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AB189D3" w14:textId="77777777" w:rsidR="008C6953" w:rsidRPr="008C6953" w:rsidRDefault="008C6953" w:rsidP="008C6953">
            <w:pPr>
              <w:spacing w:after="0"/>
              <w:rPr>
                <w:rFonts w:ascii="Arial" w:hAnsi="Arial" w:cs="Arial"/>
                <w:lang w:val="en-US"/>
              </w:rPr>
            </w:pPr>
            <w:r w:rsidRPr="008C6953">
              <w:rPr>
                <w:rFonts w:ascii="Arial" w:hAnsi="Arial" w:cs="Arial"/>
                <w:lang w:val="en-US"/>
              </w:rPr>
              <w:t>3.</w:t>
            </w:r>
            <w:r w:rsidRPr="008C695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8C6953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8C6953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8C6953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EDDF869" w14:textId="77777777" w:rsidR="008C6953" w:rsidRDefault="008C6953" w:rsidP="00F2070D">
      <w:pPr>
        <w:spacing w:after="0"/>
        <w:rPr>
          <w:rFonts w:ascii="Arial" w:hAnsi="Arial" w:cs="Arial"/>
        </w:rPr>
      </w:pPr>
    </w:p>
    <w:p w14:paraId="6FEBC5F5" w14:textId="77777777" w:rsidR="008C6953" w:rsidRPr="008C6953" w:rsidRDefault="008C6953" w:rsidP="008C6953">
      <w:pPr>
        <w:spacing w:after="0"/>
        <w:rPr>
          <w:rFonts w:ascii="Arial" w:hAnsi="Arial" w:cs="Arial"/>
        </w:rPr>
      </w:pPr>
    </w:p>
    <w:sectPr w:rsidR="008C6953" w:rsidRPr="008C6953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ABE" w14:textId="77777777" w:rsidR="002772DB" w:rsidRDefault="002772DB">
      <w:pPr>
        <w:spacing w:after="0" w:line="240" w:lineRule="auto"/>
      </w:pPr>
      <w:r>
        <w:separator/>
      </w:r>
    </w:p>
  </w:endnote>
  <w:endnote w:type="continuationSeparator" w:id="0">
    <w:p w14:paraId="620119D1" w14:textId="77777777" w:rsidR="002772DB" w:rsidRDefault="0027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3582" w14:textId="77777777" w:rsidR="002772DB" w:rsidRDefault="002772DB">
      <w:pPr>
        <w:spacing w:after="0" w:line="240" w:lineRule="auto"/>
      </w:pPr>
      <w:r>
        <w:separator/>
      </w:r>
    </w:p>
  </w:footnote>
  <w:footnote w:type="continuationSeparator" w:id="0">
    <w:p w14:paraId="686D0E8B" w14:textId="77777777" w:rsidR="002772DB" w:rsidRDefault="0027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B5CE5"/>
    <w:rsid w:val="000F1168"/>
    <w:rsid w:val="001A0E32"/>
    <w:rsid w:val="00211752"/>
    <w:rsid w:val="00272922"/>
    <w:rsid w:val="002772DB"/>
    <w:rsid w:val="0028655C"/>
    <w:rsid w:val="002E5D14"/>
    <w:rsid w:val="00314608"/>
    <w:rsid w:val="004A233A"/>
    <w:rsid w:val="004B693E"/>
    <w:rsid w:val="004C13DA"/>
    <w:rsid w:val="0057248B"/>
    <w:rsid w:val="005A1EFD"/>
    <w:rsid w:val="00613FF3"/>
    <w:rsid w:val="006211DE"/>
    <w:rsid w:val="006245A9"/>
    <w:rsid w:val="006627B1"/>
    <w:rsid w:val="00675373"/>
    <w:rsid w:val="006A19C3"/>
    <w:rsid w:val="006D643C"/>
    <w:rsid w:val="00711B2D"/>
    <w:rsid w:val="007B582D"/>
    <w:rsid w:val="007E101E"/>
    <w:rsid w:val="00831686"/>
    <w:rsid w:val="00867438"/>
    <w:rsid w:val="008B1D18"/>
    <w:rsid w:val="008C6953"/>
    <w:rsid w:val="00A34D64"/>
    <w:rsid w:val="00AC4B36"/>
    <w:rsid w:val="00B01330"/>
    <w:rsid w:val="00B94849"/>
    <w:rsid w:val="00C61F58"/>
    <w:rsid w:val="00CB48EE"/>
    <w:rsid w:val="00D90D11"/>
    <w:rsid w:val="00E22FFD"/>
    <w:rsid w:val="00E25352"/>
    <w:rsid w:val="00E61849"/>
    <w:rsid w:val="00F2070D"/>
    <w:rsid w:val="00F306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2025-07-10T09:12:00Z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