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A83C" w14:textId="71DEA6D6" w:rsidR="000618FE" w:rsidRPr="0057248B" w:rsidRDefault="005A1EFD" w:rsidP="0057248B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E61849" w:rsidRPr="00E61849">
        <w:rPr>
          <w:rFonts w:ascii="Arial" w:hAnsi="Arial" w:cs="Arial"/>
          <w:lang w:val="en-US"/>
        </w:rPr>
        <w:t>Pengangkutan</w:t>
      </w:r>
      <w:proofErr w:type="spellEnd"/>
      <w:r w:rsidR="00E61849" w:rsidRPr="00E61849">
        <w:rPr>
          <w:rFonts w:ascii="Arial" w:hAnsi="Arial" w:cs="Arial"/>
          <w:lang w:val="en-US"/>
        </w:rPr>
        <w:t xml:space="preserve"> </w:t>
      </w:r>
      <w:proofErr w:type="spellStart"/>
      <w:r w:rsidR="00E61849" w:rsidRPr="00E61849">
        <w:rPr>
          <w:rFonts w:ascii="Arial" w:hAnsi="Arial" w:cs="Arial"/>
          <w:lang w:val="en-US"/>
        </w:rPr>
        <w:t>Barang</w:t>
      </w:r>
      <w:proofErr w:type="spellEnd"/>
      <w:r w:rsidR="00E61849" w:rsidRPr="00E61849">
        <w:rPr>
          <w:rFonts w:ascii="Arial" w:hAnsi="Arial" w:cs="Arial"/>
          <w:lang w:val="en-US"/>
        </w:rPr>
        <w:t xml:space="preserve"> </w:t>
      </w:r>
      <w:proofErr w:type="spellStart"/>
      <w:r w:rsidR="00E61849" w:rsidRPr="00E61849">
        <w:rPr>
          <w:rFonts w:ascii="Arial" w:hAnsi="Arial" w:cs="Arial"/>
          <w:lang w:val="en-US"/>
        </w:rPr>
        <w:t>Impor</w:t>
      </w:r>
      <w:proofErr w:type="spellEnd"/>
      <w:r w:rsidR="00E61849" w:rsidRPr="00E61849">
        <w:rPr>
          <w:rFonts w:ascii="Arial" w:hAnsi="Arial" w:cs="Arial"/>
          <w:lang w:val="en-US"/>
        </w:rPr>
        <w:t xml:space="preserve"> </w:t>
      </w:r>
      <w:proofErr w:type="spellStart"/>
      <w:r w:rsidR="00E61849" w:rsidRPr="00E61849">
        <w:rPr>
          <w:rFonts w:ascii="Arial" w:hAnsi="Arial" w:cs="Arial"/>
          <w:lang w:val="en-US"/>
        </w:rPr>
        <w:t>ke</w:t>
      </w:r>
      <w:proofErr w:type="spellEnd"/>
      <w:r w:rsidR="00E61849" w:rsidRPr="00E61849">
        <w:rPr>
          <w:rFonts w:ascii="Arial" w:hAnsi="Arial" w:cs="Arial"/>
          <w:lang w:val="en-US"/>
        </w:rPr>
        <w:t xml:space="preserve"> Kawasan </w:t>
      </w:r>
      <w:proofErr w:type="spellStart"/>
      <w:r w:rsidR="00E61849" w:rsidRPr="00E61849">
        <w:rPr>
          <w:rFonts w:ascii="Arial" w:hAnsi="Arial" w:cs="Arial"/>
          <w:lang w:val="en-US"/>
        </w:rPr>
        <w:t>Pabean</w:t>
      </w:r>
      <w:proofErr w:type="spellEnd"/>
      <w:r w:rsidR="00E61849" w:rsidRPr="00E61849">
        <w:rPr>
          <w:rFonts w:ascii="Arial" w:hAnsi="Arial" w:cs="Arial"/>
          <w:lang w:val="en-US"/>
        </w:rPr>
        <w:t xml:space="preserve"> di KPPT</w:t>
      </w:r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5F5CCD58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E61849">
        <w:rPr>
          <w:rFonts w:ascii="Arial" w:hAnsi="Arial" w:cs="Arial"/>
        </w:rPr>
        <w:t>4</w:t>
      </w:r>
    </w:p>
    <w:p w14:paraId="01946D08" w14:textId="0D31DAA5" w:rsidR="00272922" w:rsidRDefault="0057248B" w:rsidP="0057248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US"/>
        </w:rPr>
      </w:pPr>
      <w:proofErr w:type="spellStart"/>
      <w:proofErr w:type="gramStart"/>
      <w:r w:rsidRPr="0057248B">
        <w:rPr>
          <w:rFonts w:ascii="Arial" w:hAnsi="Arial" w:cs="Arial"/>
          <w:lang w:val="en-US"/>
        </w:rPr>
        <w:t>Komponen</w:t>
      </w:r>
      <w:proofErr w:type="spellEnd"/>
      <w:r w:rsidRPr="0057248B">
        <w:rPr>
          <w:rFonts w:ascii="Arial" w:hAnsi="Arial" w:cs="Arial"/>
          <w:lang w:val="en-US"/>
        </w:rPr>
        <w:t xml:space="preserve">  </w:t>
      </w:r>
      <w:proofErr w:type="spellStart"/>
      <w:r w:rsidRPr="0057248B">
        <w:rPr>
          <w:rFonts w:ascii="Arial" w:hAnsi="Arial" w:cs="Arial"/>
          <w:lang w:val="en-US"/>
        </w:rPr>
        <w:t>Standar</w:t>
      </w:r>
      <w:proofErr w:type="spellEnd"/>
      <w:proofErr w:type="gramEnd"/>
      <w:r w:rsidRPr="0057248B">
        <w:rPr>
          <w:rFonts w:ascii="Arial" w:hAnsi="Arial" w:cs="Arial"/>
          <w:lang w:val="en-US"/>
        </w:rPr>
        <w:t xml:space="preserve">  </w:t>
      </w:r>
      <w:proofErr w:type="spellStart"/>
      <w:r w:rsidRPr="0057248B">
        <w:rPr>
          <w:rFonts w:ascii="Arial" w:hAnsi="Arial" w:cs="Arial"/>
          <w:lang w:val="en-US"/>
        </w:rPr>
        <w:t>Pelayanan</w:t>
      </w:r>
      <w:proofErr w:type="spellEnd"/>
      <w:r w:rsidRPr="0057248B">
        <w:rPr>
          <w:rFonts w:ascii="Arial" w:hAnsi="Arial" w:cs="Arial"/>
          <w:lang w:val="en-US"/>
        </w:rPr>
        <w:t xml:space="preserve">  yang  </w:t>
      </w:r>
      <w:proofErr w:type="spellStart"/>
      <w:r w:rsidRPr="0057248B">
        <w:rPr>
          <w:rFonts w:ascii="Arial" w:hAnsi="Arial" w:cs="Arial"/>
          <w:lang w:val="en-US"/>
        </w:rPr>
        <w:t>terkait</w:t>
      </w:r>
      <w:proofErr w:type="spellEnd"/>
      <w:r w:rsidRPr="0057248B">
        <w:rPr>
          <w:rFonts w:ascii="Arial" w:hAnsi="Arial" w:cs="Arial"/>
          <w:lang w:val="en-US"/>
        </w:rPr>
        <w:t xml:space="preserve">  </w:t>
      </w:r>
      <w:proofErr w:type="spellStart"/>
      <w:r w:rsidRPr="0057248B">
        <w:rPr>
          <w:rFonts w:ascii="Arial" w:hAnsi="Arial" w:cs="Arial"/>
          <w:lang w:val="en-US"/>
        </w:rPr>
        <w:t>dengan</w:t>
      </w:r>
      <w:proofErr w:type="spellEnd"/>
      <w:r w:rsidRPr="0057248B">
        <w:rPr>
          <w:rFonts w:ascii="Arial" w:hAnsi="Arial" w:cs="Arial"/>
          <w:lang w:val="en-US"/>
        </w:rPr>
        <w:t xml:space="preserve">  proses  </w:t>
      </w:r>
      <w:proofErr w:type="spellStart"/>
      <w:r w:rsidRPr="0057248B">
        <w:rPr>
          <w:rFonts w:ascii="Arial" w:hAnsi="Arial" w:cs="Arial"/>
          <w:lang w:val="en-US"/>
        </w:rPr>
        <w:t>penyampaian</w:t>
      </w:r>
      <w:proofErr w:type="spellEnd"/>
      <w:r w:rsidRPr="0057248B">
        <w:rPr>
          <w:rFonts w:ascii="Arial" w:hAnsi="Arial" w:cs="Arial"/>
          <w:lang w:val="en-US"/>
        </w:rPr>
        <w:t xml:space="preserve"> </w:t>
      </w:r>
      <w:proofErr w:type="spellStart"/>
      <w:r w:rsidRPr="0057248B">
        <w:rPr>
          <w:rFonts w:ascii="Arial" w:hAnsi="Arial" w:cs="Arial"/>
          <w:lang w:val="en-US"/>
        </w:rPr>
        <w:t>pelayanan</w:t>
      </w:r>
      <w:proofErr w:type="spellEnd"/>
      <w:r w:rsidRPr="0057248B">
        <w:rPr>
          <w:rFonts w:ascii="Arial" w:hAnsi="Arial" w:cs="Arial"/>
          <w:lang w:val="en-US"/>
        </w:rPr>
        <w:t xml:space="preserve"> </w:t>
      </w:r>
      <w:proofErr w:type="spellStart"/>
      <w:r w:rsidRPr="0057248B">
        <w:rPr>
          <w:rFonts w:ascii="Arial" w:hAnsi="Arial" w:cs="Arial"/>
          <w:lang w:val="en-US"/>
        </w:rPr>
        <w:t>meliputi</w:t>
      </w:r>
      <w:proofErr w:type="spellEnd"/>
      <w:r w:rsidRPr="0057248B">
        <w:rPr>
          <w:rFonts w:ascii="Arial" w:hAnsi="Arial" w:cs="Arial"/>
          <w:lang w:val="en-US"/>
        </w:rPr>
        <w:t>:</w:t>
      </w:r>
    </w:p>
    <w:tbl>
      <w:tblPr>
        <w:tblW w:w="96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6656"/>
      </w:tblGrid>
      <w:tr w:rsidR="00E61849" w:rsidRPr="00E61849" w14:paraId="14818124" w14:textId="77777777" w:rsidTr="00E61849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4BCA6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61D4D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61849">
              <w:rPr>
                <w:rFonts w:ascii="Arial" w:hAnsi="Arial" w:cs="Arial"/>
                <w:lang w:val="en-US"/>
              </w:rPr>
              <w:t>Komponen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EC326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61849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E61849" w:rsidRPr="00E61849" w14:paraId="7C268CBB" w14:textId="77777777" w:rsidTr="00E61849">
        <w:trPr>
          <w:trHeight w:hRule="exact" w:val="398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410FA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C2AED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61849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1A17935A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61849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CA197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 xml:space="preserve">1.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Komputer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>;</w:t>
            </w:r>
          </w:p>
          <w:p w14:paraId="694FD2AD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2.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gramStart"/>
            <w:r w:rsidRPr="00E61849">
              <w:rPr>
                <w:rFonts w:ascii="Arial" w:hAnsi="Arial" w:cs="Arial"/>
                <w:i/>
                <w:lang w:val="en-US"/>
              </w:rPr>
              <w:t>Inward  Manifest</w:t>
            </w:r>
            <w:proofErr w:type="gramEnd"/>
            <w:r w:rsidRPr="00E61849">
              <w:rPr>
                <w:rFonts w:ascii="Arial" w:hAnsi="Arial" w:cs="Arial"/>
                <w:i/>
                <w:lang w:val="en-US"/>
              </w:rPr>
              <w:t xml:space="preserve">  </w:t>
            </w:r>
            <w:r w:rsidRPr="00E61849">
              <w:rPr>
                <w:rFonts w:ascii="Arial" w:hAnsi="Arial" w:cs="Arial"/>
                <w:lang w:val="en-US"/>
              </w:rPr>
              <w:t xml:space="preserve">pada  Pelabuhan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Bongkar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memberitahukan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tujuan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akhir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pengangkutan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Pelabuhan di KPPT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kelompok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diangkut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lanjut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>).</w:t>
            </w:r>
          </w:p>
          <w:p w14:paraId="36523939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3.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gramStart"/>
            <w:r w:rsidRPr="00E61849">
              <w:rPr>
                <w:rFonts w:ascii="Arial" w:hAnsi="Arial" w:cs="Arial"/>
                <w:i/>
                <w:lang w:val="en-US"/>
              </w:rPr>
              <w:t>Outward  Manifest</w:t>
            </w:r>
            <w:proofErr w:type="gramEnd"/>
            <w:r w:rsidRPr="00E61849">
              <w:rPr>
                <w:rFonts w:ascii="Arial" w:hAnsi="Arial" w:cs="Arial"/>
                <w:i/>
                <w:lang w:val="en-US"/>
              </w:rPr>
              <w:t xml:space="preserve">  </w:t>
            </w:r>
            <w:r w:rsidRPr="00E61849">
              <w:rPr>
                <w:rFonts w:ascii="Arial" w:hAnsi="Arial" w:cs="Arial"/>
                <w:lang w:val="en-US"/>
              </w:rPr>
              <w:t xml:space="preserve">pada  Pelabuhan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Bongkar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(data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Inward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Manifes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kolom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“Sarana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”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diisi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keterangan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“TRUK”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moda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transportasi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digunakan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sarana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intermoda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lanjutan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>);</w:t>
            </w:r>
          </w:p>
          <w:p w14:paraId="0B6A1BA6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4.</w:t>
            </w:r>
            <w:r w:rsidRPr="00E61849">
              <w:rPr>
                <w:rFonts w:ascii="Arial" w:hAnsi="Arial" w:cs="Arial"/>
                <w:lang w:val="en-US"/>
              </w:rPr>
              <w:tab/>
              <w:t xml:space="preserve">Tanda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pengaman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elektronik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pengaman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manual (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pengaman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elektronik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belum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tersedia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gangguan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>);</w:t>
            </w:r>
          </w:p>
          <w:p w14:paraId="00B35DEA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 xml:space="preserve">5.   Sistem TPS online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Otomatis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>.</w:t>
            </w:r>
          </w:p>
        </w:tc>
      </w:tr>
      <w:tr w:rsidR="00E61849" w:rsidRPr="00E61849" w14:paraId="6C653693" w14:textId="77777777" w:rsidTr="00E61849">
        <w:trPr>
          <w:trHeight w:hRule="exact" w:val="1098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1E103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217DD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61849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Mekanisme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A6928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 xml:space="preserve">1.   </w:t>
            </w:r>
            <w:proofErr w:type="spellStart"/>
            <w:proofErr w:type="gramStart"/>
            <w:r w:rsidRPr="00E61849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menyerahkan</w:t>
            </w:r>
            <w:proofErr w:type="spellEnd"/>
            <w:proofErr w:type="gram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r w:rsidRPr="00E61849">
              <w:rPr>
                <w:rFonts w:ascii="Arial" w:hAnsi="Arial" w:cs="Arial"/>
                <w:i/>
                <w:lang w:val="en-US"/>
              </w:rPr>
              <w:t>outward  manifest</w:t>
            </w:r>
          </w:p>
          <w:p w14:paraId="2050DE5A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61849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Cukai</w:t>
            </w:r>
            <w:proofErr w:type="spellEnd"/>
          </w:p>
          <w:p w14:paraId="596EECB9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2.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Bea   dan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dan/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SKP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meneliti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kelengkapan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data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validasi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r w:rsidRPr="00E61849">
              <w:rPr>
                <w:rFonts w:ascii="Arial" w:hAnsi="Arial" w:cs="Arial"/>
                <w:i/>
                <w:lang w:val="en-US"/>
              </w:rPr>
              <w:t xml:space="preserve">Outward Manifest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meliputi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>:</w:t>
            </w:r>
          </w:p>
          <w:p w14:paraId="0F7C60BB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pengangkutan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>;</w:t>
            </w:r>
          </w:p>
          <w:p w14:paraId="3197B283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b.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ukuran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peti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kemas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peti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kemas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>;</w:t>
            </w:r>
          </w:p>
          <w:p w14:paraId="23A8177F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 xml:space="preserve">c.   Pelabuhan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akhir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>; dan</w:t>
            </w:r>
          </w:p>
          <w:p w14:paraId="321E5B56" w14:textId="77777777" w:rsid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d.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E61849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dan</w:t>
            </w:r>
            <w:proofErr w:type="gram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pendaftaran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BC  1.1 dan kelompok pos.</w:t>
            </w:r>
          </w:p>
          <w:p w14:paraId="3B1C4878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3.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kelengkapan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E61849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:</w:t>
            </w:r>
            <w:proofErr w:type="gramEnd"/>
          </w:p>
          <w:p w14:paraId="4714FBC9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proofErr w:type="gramStart"/>
            <w:r w:rsidRPr="00E61849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tidak</w:t>
            </w:r>
            <w:proofErr w:type="spellEnd"/>
            <w:proofErr w:type="gram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dikirimkan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respon</w:t>
            </w:r>
            <w:proofErr w:type="spellEnd"/>
          </w:p>
          <w:p w14:paraId="0B0C1FD8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61849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PDE</w:t>
            </w:r>
          </w:p>
          <w:p w14:paraId="6B2E626E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b.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proofErr w:type="gramStart"/>
            <w:r w:rsidRPr="00E6184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dikirimkan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respon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penerimaan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Outward</w:t>
            </w:r>
          </w:p>
          <w:p w14:paraId="6D83024E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c.</w:t>
            </w:r>
            <w:r w:rsidRPr="00E61849">
              <w:rPr>
                <w:rFonts w:ascii="Arial" w:hAnsi="Arial" w:cs="Arial"/>
                <w:lang w:val="en-US"/>
              </w:rPr>
              <w:tab/>
              <w:t xml:space="preserve">Manifest 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mencantumkan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pendaftaran BC 1.1</w:t>
            </w:r>
          </w:p>
          <w:p w14:paraId="55FC5D5A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4.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    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    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persiapan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E61849">
              <w:rPr>
                <w:rFonts w:ascii="Arial" w:hAnsi="Arial" w:cs="Arial"/>
                <w:lang w:val="en-US"/>
              </w:rPr>
              <w:t>pengeluaran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barang</w:t>
            </w:r>
            <w:proofErr w:type="spellEnd"/>
            <w:proofErr w:type="gram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tujuan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akhir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pengangkutan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di KPPT.</w:t>
            </w:r>
          </w:p>
          <w:p w14:paraId="4D9618A4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 xml:space="preserve">5.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menerapkan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Sistem Pintu</w:t>
            </w:r>
          </w:p>
          <w:p w14:paraId="123C2858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61849">
              <w:rPr>
                <w:rFonts w:ascii="Arial" w:hAnsi="Arial" w:cs="Arial"/>
                <w:lang w:val="en-US"/>
              </w:rPr>
              <w:t>Otomatis</w:t>
            </w:r>
            <w:proofErr w:type="spellEnd"/>
          </w:p>
          <w:p w14:paraId="28E46680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a.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E61849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TPS</w:t>
            </w:r>
            <w:proofErr w:type="gram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dan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meneliti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data Outward Manifest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SKP</w:t>
            </w:r>
          </w:p>
          <w:p w14:paraId="5D3D0E9F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b.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pengambilan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dikeluarkan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Outward Manifest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SKP</w:t>
            </w:r>
          </w:p>
          <w:p w14:paraId="0A66C69A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c.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dikeluarkan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data Outward Manifest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SKP,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Bea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TPS</w:t>
            </w:r>
          </w:p>
          <w:p w14:paraId="23DDB772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d.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Pengelola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      KPPT/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      TPS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pemasangan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pengaman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elektronik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mengaktifkannya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sebelum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dikeluarkan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TPS.</w:t>
            </w:r>
          </w:p>
          <w:p w14:paraId="0BD35E6B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 xml:space="preserve">e.   </w:t>
            </w:r>
            <w:proofErr w:type="spellStart"/>
            <w:proofErr w:type="gramStart"/>
            <w:r w:rsidRPr="00E61849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mengeluarkan</w:t>
            </w:r>
            <w:proofErr w:type="spellEnd"/>
            <w:proofErr w:type="gram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dari</w:t>
            </w:r>
            <w:proofErr w:type="spellEnd"/>
          </w:p>
          <w:p w14:paraId="46D9E5B8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TPS.</w:t>
            </w:r>
          </w:p>
          <w:p w14:paraId="304E9C2F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f.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 Bea    dan 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pengeluaran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diangkut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lanjut.</w:t>
            </w:r>
          </w:p>
          <w:p w14:paraId="52CA96D5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 xml:space="preserve">g.   </w:t>
            </w:r>
            <w:proofErr w:type="spellStart"/>
            <w:proofErr w:type="gramStart"/>
            <w:r w:rsidRPr="00E61849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TPS</w:t>
            </w:r>
            <w:proofErr w:type="gram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laporan</w:t>
            </w:r>
            <w:proofErr w:type="spellEnd"/>
          </w:p>
          <w:p w14:paraId="41094877" w14:textId="3CF3B301" w:rsid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61849">
              <w:rPr>
                <w:rFonts w:ascii="Arial" w:hAnsi="Arial" w:cs="Arial"/>
                <w:lang w:val="en-US"/>
              </w:rPr>
              <w:t>realisasi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pengeluaran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SKP</w:t>
            </w:r>
          </w:p>
          <w:p w14:paraId="1B0A50D5" w14:textId="77777777" w:rsid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22D1AFCB" w14:textId="77777777" w:rsid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17097C8E" w14:textId="77777777" w:rsid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1BA50E20" w14:textId="77777777" w:rsid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0EF9ACAB" w14:textId="77777777" w:rsid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11CAB93E" w14:textId="77777777" w:rsid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5E47E6A3" w14:textId="77777777" w:rsid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38C964B4" w14:textId="77777777" w:rsid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4037F21C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45E539E3" w14:textId="097B814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 xml:space="preserve">6ata.enelitian data Outward Manifest di SKP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ukuran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peti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kemas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impor</w:t>
            </w:r>
            <w:proofErr w:type="spellEnd"/>
          </w:p>
          <w:p w14:paraId="05EA9B40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 xml:space="preserve">1)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E6184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memberikan</w:t>
            </w:r>
            <w:proofErr w:type="spellEnd"/>
          </w:p>
          <w:p w14:paraId="14529B4D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6184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pengeluaran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dikeluarkan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TPS.</w:t>
            </w:r>
          </w:p>
          <w:p w14:paraId="401CA387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2)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dikeluarkan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lebih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lanjut</w:t>
            </w:r>
            <w:proofErr w:type="spellEnd"/>
          </w:p>
          <w:p w14:paraId="6979E178" w14:textId="25BA419E" w:rsid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b.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E61849">
              <w:rPr>
                <w:rFonts w:ascii="Arial" w:hAnsi="Arial" w:cs="Arial"/>
                <w:lang w:val="en-US"/>
              </w:rPr>
              <w:t>Pengelola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KPPT</w:t>
            </w:r>
            <w:proofErr w:type="gram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pemasangan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pengaman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elektronik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mengaktifkannya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sebelum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dikeluarkan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TPS</w:t>
            </w:r>
          </w:p>
          <w:p w14:paraId="35AEC7A0" w14:textId="77777777" w:rsid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139D02DA" w14:textId="77777777" w:rsid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029A16B1" w14:textId="797BCD8A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E61849" w:rsidRPr="00E61849" w14:paraId="0246249D" w14:textId="77777777" w:rsidTr="00E61849">
        <w:trPr>
          <w:trHeight w:hRule="exact" w:val="1672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A3A80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33F0E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07F0A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 xml:space="preserve">6.   </w:t>
            </w:r>
            <w:proofErr w:type="spellStart"/>
            <w:proofErr w:type="gramStart"/>
            <w:r w:rsidRPr="00E6184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E61849">
              <w:rPr>
                <w:rFonts w:ascii="Arial" w:hAnsi="Arial" w:cs="Arial"/>
                <w:lang w:val="en-US"/>
              </w:rPr>
              <w:t xml:space="preserve">  TPS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belum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menerapkan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sistem</w:t>
            </w:r>
            <w:proofErr w:type="spellEnd"/>
          </w:p>
          <w:p w14:paraId="2C06713C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61849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Otomatis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TPS</w:t>
            </w:r>
          </w:p>
          <w:p w14:paraId="0E32D308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a.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 Bea    dan 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data Outward Manifest di SKP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ukuran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peti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kemas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impor</w:t>
            </w:r>
            <w:proofErr w:type="spellEnd"/>
          </w:p>
          <w:p w14:paraId="4ED69147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 xml:space="preserve">1)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E6184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memberikan</w:t>
            </w:r>
            <w:proofErr w:type="spellEnd"/>
          </w:p>
          <w:p w14:paraId="1890338D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61849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pengeluaran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dikeluarkan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TPS.</w:t>
            </w:r>
          </w:p>
          <w:p w14:paraId="6F166B22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2)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dikeluarkan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lebih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lanjut</w:t>
            </w:r>
            <w:proofErr w:type="spellEnd"/>
          </w:p>
          <w:p w14:paraId="716E9FC4" w14:textId="77777777" w:rsid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b.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E61849">
              <w:rPr>
                <w:rFonts w:ascii="Arial" w:hAnsi="Arial" w:cs="Arial"/>
                <w:lang w:val="en-US"/>
              </w:rPr>
              <w:t>Pengelola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KPPT</w:t>
            </w:r>
            <w:proofErr w:type="gram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pemasangan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pengaman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elektronik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mengaktifkannya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sebelum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dikeluarkan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TPS</w:t>
            </w:r>
          </w:p>
          <w:p w14:paraId="5E22BB61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c.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mengeluarkan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TPS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pengeluaran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E61849">
              <w:rPr>
                <w:rFonts w:ascii="Arial" w:hAnsi="Arial" w:cs="Arial"/>
                <w:lang w:val="en-US"/>
              </w:rPr>
              <w:t>merekam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realisasi</w:t>
            </w:r>
            <w:proofErr w:type="spellEnd"/>
            <w:proofErr w:type="gram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pengeluaran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TPS.</w:t>
            </w:r>
          </w:p>
          <w:p w14:paraId="757B585E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7.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E6184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yang</w:t>
            </w:r>
            <w:proofErr w:type="gram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menangani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manifes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SKP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Manifes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pada Kantor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KPPT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meneliti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kelengkapan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data (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validasi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) inward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manifes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>.</w:t>
            </w:r>
          </w:p>
          <w:p w14:paraId="17FA1014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 xml:space="preserve">8.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>:</w:t>
            </w:r>
          </w:p>
          <w:p w14:paraId="6F47818A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a.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E61849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tidak</w:t>
            </w:r>
            <w:proofErr w:type="spellEnd"/>
            <w:proofErr w:type="gram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dikirimkan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respon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PDE</w:t>
            </w:r>
          </w:p>
          <w:p w14:paraId="254186C4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b.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proofErr w:type="gramStart"/>
            <w:r w:rsidRPr="00E6184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dikirimkan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respon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penerimaan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Inward Manifest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mencantumkan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pendaftaran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BC 1.1</w:t>
            </w:r>
          </w:p>
          <w:p w14:paraId="5DDBDBF4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9.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E6184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E61849">
              <w:rPr>
                <w:rFonts w:ascii="Arial" w:hAnsi="Arial" w:cs="Arial"/>
                <w:lang w:val="en-US"/>
              </w:rPr>
              <w:t xml:space="preserve">  TPS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belum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menerapkan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otomatis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>:</w:t>
            </w:r>
          </w:p>
          <w:p w14:paraId="5691F5CF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a.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 Bea    dan 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data outward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manifes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Pelabuhan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bongkar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SKP dan/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hardcopy outward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manifes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mendapatkan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BC 1.1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Pelabuhan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Bongkar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ukuran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peti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kemas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bersangkutan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>.</w:t>
            </w:r>
          </w:p>
          <w:p w14:paraId="388FDBB1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b.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kedapatan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mengizinkan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peti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kemas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masuk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di KPPT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memerintahkan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Pengelola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KPPT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membuka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pengaman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elektronik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>.</w:t>
            </w:r>
          </w:p>
          <w:p w14:paraId="01EBF8CF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c.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kedapatan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mengizinkan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peti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kemas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masuk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di KPPT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E61849">
              <w:rPr>
                <w:rFonts w:ascii="Arial" w:hAnsi="Arial" w:cs="Arial"/>
                <w:lang w:val="en-US"/>
              </w:rPr>
              <w:t>selanjutnya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diteruskan</w:t>
            </w:r>
            <w:proofErr w:type="spellEnd"/>
            <w:proofErr w:type="gram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menangani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>.</w:t>
            </w:r>
          </w:p>
          <w:p w14:paraId="54B4D911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 xml:space="preserve">10. </w:t>
            </w:r>
            <w:proofErr w:type="spellStart"/>
            <w:proofErr w:type="gramStart"/>
            <w:r w:rsidRPr="00E6184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E61849">
              <w:rPr>
                <w:rFonts w:ascii="Arial" w:hAnsi="Arial" w:cs="Arial"/>
                <w:lang w:val="en-US"/>
              </w:rPr>
              <w:t xml:space="preserve">  TPS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sudah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menerapkan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otomatis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>,</w:t>
            </w:r>
          </w:p>
          <w:p w14:paraId="38F8400A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data</w:t>
            </w:r>
          </w:p>
          <w:p w14:paraId="26BD8877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 xml:space="preserve">Outward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Manifes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Pelabuhan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Bongkar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di SKP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ukuran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peti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kemas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bersangkutan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>.</w:t>
            </w:r>
          </w:p>
          <w:p w14:paraId="502905FC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b.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kedapatan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mengizinkan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peti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kemas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masuk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di KPPT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membuka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pengaman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elektronik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>.</w:t>
            </w:r>
          </w:p>
          <w:p w14:paraId="7BB72C72" w14:textId="77777777" w:rsid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c.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kedapatan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mengizinkan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peti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kemas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masuk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di KPPT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E61849">
              <w:rPr>
                <w:rFonts w:ascii="Arial" w:hAnsi="Arial" w:cs="Arial"/>
                <w:lang w:val="en-US"/>
              </w:rPr>
              <w:t>selanjutnya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diteruskan</w:t>
            </w:r>
            <w:proofErr w:type="spellEnd"/>
            <w:proofErr w:type="gram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menangani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>.</w:t>
            </w:r>
          </w:p>
          <w:p w14:paraId="0E25EEAE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 xml:space="preserve">11.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menerapkan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TPS Online,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realisasi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pemasukan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TPS Online.</w:t>
            </w:r>
          </w:p>
          <w:p w14:paraId="60423125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 xml:space="preserve">12.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Bea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menangani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manifes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rekonsiliasi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antara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Outward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Manifes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Pelabuhan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bongkar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dan Inward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Manifes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KPPT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realisasi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pemasukan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setelah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Naskah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Dinas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Permintaan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Data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Realisasi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Pengangkutan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KPPT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KPPT.</w:t>
            </w:r>
          </w:p>
          <w:p w14:paraId="67F6CDE8" w14:textId="4C15EB2E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E61849" w:rsidRPr="00E61849" w14:paraId="3C98A629" w14:textId="77777777" w:rsidTr="00E61849">
        <w:trPr>
          <w:trHeight w:hRule="exact" w:val="183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F90D6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43A02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65B01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a.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Bea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menangani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manifes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menyiapkan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naskah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dinas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rekonsiliasi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menangani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Manifes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pada Pelabuhan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Bongkar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>.</w:t>
            </w:r>
          </w:p>
          <w:p w14:paraId="36823784" w14:textId="500E0FA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b.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proofErr w:type="gramStart"/>
            <w:r w:rsidRPr="00E6184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,   </w:t>
            </w:r>
            <w:proofErr w:type="spellStart"/>
            <w:proofErr w:type="gramEnd"/>
            <w:r w:rsidRPr="00E61849">
              <w:rPr>
                <w:rFonts w:ascii="Arial" w:hAnsi="Arial" w:cs="Arial"/>
                <w:lang w:val="en-US"/>
              </w:rPr>
              <w:t>menyiapkan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naskah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dinas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rekonsiliasi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menangani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Manifes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pada Pelabuhan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Bongkar</w:t>
            </w:r>
            <w:proofErr w:type="spellEnd"/>
          </w:p>
        </w:tc>
      </w:tr>
      <w:tr w:rsidR="00E61849" w14:paraId="69D1AED9" w14:textId="77777777" w:rsidTr="00E61849">
        <w:trPr>
          <w:trHeight w:hRule="exact" w:val="70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BBF56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8009D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61849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Waktu</w:t>
            </w:r>
          </w:p>
          <w:p w14:paraId="39DC4D9E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61849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A8448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proofErr w:type="gramStart"/>
            <w:r w:rsidRPr="00E61849">
              <w:rPr>
                <w:rFonts w:ascii="Arial" w:hAnsi="Arial" w:cs="Arial"/>
                <w:lang w:val="en-US"/>
              </w:rPr>
              <w:t>Paling  lama</w:t>
            </w:r>
            <w:proofErr w:type="gramEnd"/>
            <w:r w:rsidRPr="00E61849">
              <w:rPr>
                <w:rFonts w:ascii="Arial" w:hAnsi="Arial" w:cs="Arial"/>
                <w:lang w:val="en-US"/>
              </w:rPr>
              <w:t xml:space="preserve">  2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yang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dimulai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secara lengkap.</w:t>
            </w:r>
          </w:p>
        </w:tc>
      </w:tr>
      <w:tr w:rsidR="00E61849" w14:paraId="25999681" w14:textId="77777777" w:rsidTr="00E61849">
        <w:trPr>
          <w:trHeight w:hRule="exact" w:val="42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D9BDE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14FBD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61849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CF96C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6184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E61849" w14:paraId="1B2ED42C" w14:textId="77777777" w:rsidTr="00E61849">
        <w:trPr>
          <w:trHeight w:hRule="exact" w:val="183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F866B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46927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61849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2AC12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1.</w:t>
            </w:r>
            <w:r w:rsidRPr="00E61849">
              <w:rPr>
                <w:rFonts w:ascii="Arial" w:hAnsi="Arial" w:cs="Arial"/>
                <w:lang w:val="en-US"/>
              </w:rPr>
              <w:tab/>
              <w:t xml:space="preserve">Outward    Manifest    pada    Kantor 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Pelabuhan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Bongkar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keluar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di Pelabuhan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Bongkar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>.</w:t>
            </w:r>
          </w:p>
          <w:p w14:paraId="19102381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2.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gramStart"/>
            <w:r w:rsidRPr="00E61849">
              <w:rPr>
                <w:rFonts w:ascii="Arial" w:hAnsi="Arial" w:cs="Arial"/>
                <w:lang w:val="en-US"/>
              </w:rPr>
              <w:t xml:space="preserve">Inward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Manifes</w:t>
            </w:r>
            <w:proofErr w:type="spellEnd"/>
            <w:proofErr w:type="gramEnd"/>
            <w:r w:rsidRPr="00E61849">
              <w:rPr>
                <w:rFonts w:ascii="Arial" w:hAnsi="Arial" w:cs="Arial"/>
                <w:lang w:val="en-US"/>
              </w:rPr>
              <w:t xml:space="preserve">  pada  Kantor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yang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KPPT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masuk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di KPPT.</w:t>
            </w:r>
          </w:p>
        </w:tc>
      </w:tr>
      <w:tr w:rsidR="00E61849" w14:paraId="36E262E2" w14:textId="77777777" w:rsidTr="00E61849">
        <w:trPr>
          <w:trHeight w:hRule="exact" w:val="369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E5A52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C00C9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E61849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708BE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1.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,   Saran,   dan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E61849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E61849">
              <w:rPr>
                <w:rFonts w:ascii="Arial" w:hAnsi="Arial" w:cs="Arial"/>
                <w:lang w:val="en-US"/>
              </w:rPr>
              <w:t xml:space="preserve"> atau ke pengaduan</w:t>
            </w:r>
            <w:hyperlink r:id="rId8">
              <w:r w:rsidRPr="00E61849">
                <w:rPr>
                  <w:rStyle w:val="Hyperlink"/>
                  <w:rFonts w:ascii="Arial" w:hAnsi="Arial" w:cs="Arial"/>
                  <w:lang w:val="en-US"/>
                </w:rPr>
                <w:t>.beacukai@customs.go.id</w:t>
              </w:r>
            </w:hyperlink>
          </w:p>
          <w:p w14:paraId="1187462E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2.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Internal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Jl. Ahmad Yani By Pass -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>, Jakarta Timur Jakarta – 13230</w:t>
            </w:r>
          </w:p>
          <w:p w14:paraId="0D9C0E6F" w14:textId="77777777" w:rsidR="00E61849" w:rsidRPr="00E61849" w:rsidRDefault="00E61849" w:rsidP="00E61849">
            <w:pPr>
              <w:spacing w:after="0"/>
              <w:rPr>
                <w:rFonts w:ascii="Arial" w:hAnsi="Arial" w:cs="Arial"/>
                <w:lang w:val="en-US"/>
              </w:rPr>
            </w:pPr>
            <w:r w:rsidRPr="00E61849">
              <w:rPr>
                <w:rFonts w:ascii="Arial" w:hAnsi="Arial" w:cs="Arial"/>
                <w:lang w:val="en-US"/>
              </w:rPr>
              <w:t>3.</w:t>
            </w:r>
            <w:r w:rsidRPr="00E61849">
              <w:rPr>
                <w:rFonts w:ascii="Arial" w:hAnsi="Arial" w:cs="Arial"/>
                <w:lang w:val="en-US"/>
              </w:rPr>
              <w:tab/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E6184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E61849">
              <w:rPr>
                <w:rFonts w:ascii="Arial" w:hAnsi="Arial" w:cs="Arial"/>
                <w:lang w:val="en-US"/>
              </w:rPr>
              <w:t xml:space="preserve"> saran,    dan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E61849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E61849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366C53F5" w14:textId="77777777" w:rsidR="00E61849" w:rsidRDefault="00E61849" w:rsidP="00E61849">
      <w:pPr>
        <w:spacing w:after="0"/>
        <w:rPr>
          <w:rFonts w:ascii="Arial" w:hAnsi="Arial" w:cs="Arial"/>
        </w:rPr>
      </w:pPr>
    </w:p>
    <w:p w14:paraId="10C44131" w14:textId="77777777" w:rsidR="00E61849" w:rsidRPr="00E61849" w:rsidRDefault="00E61849" w:rsidP="00E61849">
      <w:pPr>
        <w:spacing w:after="0"/>
        <w:rPr>
          <w:rFonts w:ascii="Arial" w:hAnsi="Arial" w:cs="Arial"/>
          <w:lang w:val="en-US"/>
        </w:rPr>
      </w:pPr>
    </w:p>
    <w:sectPr w:rsidR="00E61849" w:rsidRPr="00E61849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EB6C" w14:textId="77777777" w:rsidR="008B1D18" w:rsidRDefault="008B1D18">
      <w:pPr>
        <w:spacing w:after="0" w:line="240" w:lineRule="auto"/>
      </w:pPr>
      <w:r>
        <w:separator/>
      </w:r>
    </w:p>
  </w:endnote>
  <w:endnote w:type="continuationSeparator" w:id="0">
    <w:p w14:paraId="6F24BF4D" w14:textId="77777777" w:rsidR="008B1D18" w:rsidRDefault="008B1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D917D" w14:textId="77777777" w:rsidR="008B1D18" w:rsidRDefault="008B1D18">
      <w:pPr>
        <w:spacing w:after="0" w:line="240" w:lineRule="auto"/>
      </w:pPr>
      <w:r>
        <w:separator/>
      </w:r>
    </w:p>
  </w:footnote>
  <w:footnote w:type="continuationSeparator" w:id="0">
    <w:p w14:paraId="6B86CBA4" w14:textId="77777777" w:rsidR="008B1D18" w:rsidRDefault="008B1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3q8gEAAL4DAAAOAAAAZHJzL2Uyb0RvYy54bWysU9tu2zAMfR+wfxD0vjhuLk2NOEXXosOA&#10;rhvQ7gMYWY6F2aJGKbG7rx8lJ1m3vQ17ESiKOjw8OlpfD10rDpq8QVvKfDKVQluFlbG7Un59vn+3&#10;ksIHsBW0aHUpX7SX15u3b9a9K/QFNthWmgSDWF/0rpRNCK7IMq8a3YGfoNOWD2ukDgJvaZdVBD2j&#10;d212MZ0usx6pcoRKe8/Zu/FQbhJ+XWsVPte110G0pWRuIa2U1m1cs80aih2Ba4w60oB/YNGBsdz0&#10;DHUHAcSezF9QnVGEHuswUdhlWNdG6TQDT5NP/5jmqQGn0ywsjndnmfz/g1WPhy8kTFXK+VW+XOVX&#10;y5kUFjp+qmc9BPEeB5HPoky98wVXPzmuDwPn+bnTyN49oPrmhcXbBuxO3xBh32iomGYeb2avro44&#10;PoJs+09YcR/YB0xAQ01d1JBVEYzOz/VyfqLIRXFyvrqczhdSKD7Kl4vL2SJ1gOJ02ZEPHzR2Igal&#10;JHZAAofDgw+RDBSnktjL4r1p2+SC1v6W4MKYSeQj35F5GLbDUYwtVi88BuFoKv4EHDRIP6To2VCl&#10;9N/3QFqK9qNlKaL7TgGdgu0pAKv4aimDFGN4G0aX7h2ZXcPIo9gWb1iu2qRRoq4jiyNPNkma8Gjo&#10;6MLX+1T169ttfgIAAP//AwBQSwMEFAAGAAgAAAAhALeFZKPfAAAACQEAAA8AAABkcnMvZG93bnJl&#10;di54bWxMj8FOwzAMhu9IvENkJG4sWSd1W6k7TQhOSIiuHDimbdZGa5zSZFt5e8wJbrb86ff357vZ&#10;DeJipmA9ISwXCoShxreWOoSP6uVhAyJETa0ePBmEbxNgV9ze5Dpr/ZVKcznETnAIhUwj9DGOmZSh&#10;6Y3TYeFHQ3w7+snpyOvUyXbSVw53g0yUSqXTlvhDr0fz1JvmdDg7hP0nlc/2661+L4+lraqtotf0&#10;hHh/N+8fQUQzxz8YfvVZHQp2qv2Z2iAGhDRZrRhFWCfciYG1UjzUCNvNEmSRy/8Nih8AAAD//wMA&#10;UEsBAi0AFAAGAAgAAAAhALaDOJL+AAAA4QEAABMAAAAAAAAAAAAAAAAAAAAAAFtDb250ZW50X1R5&#10;cGVzXS54bWxQSwECLQAUAAYACAAAACEAOP0h/9YAAACUAQAACwAAAAAAAAAAAAAAAAAvAQAAX3Jl&#10;bHMvLnJlbHNQSwECLQAUAAYACAAAACEAE8qN6vIBAAC+AwAADgAAAAAAAAAAAAAAAAAuAgAAZHJz&#10;L2Uyb0RvYy54bWxQSwECLQAUAAYACAAAACEAt4Vko98AAAAJAQAADwAAAAAAAAAAAAAAAABMBAAA&#10;ZHJzL2Rvd25yZXYueG1sUEsFBgAAAAAEAAQA8wAAAFgFAAAAAA==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1A0E32"/>
    <w:rsid w:val="00211752"/>
    <w:rsid w:val="00272922"/>
    <w:rsid w:val="0028655C"/>
    <w:rsid w:val="002E5D14"/>
    <w:rsid w:val="00314608"/>
    <w:rsid w:val="004C13DA"/>
    <w:rsid w:val="0057248B"/>
    <w:rsid w:val="005A1EFD"/>
    <w:rsid w:val="006211DE"/>
    <w:rsid w:val="006245A9"/>
    <w:rsid w:val="006627B1"/>
    <w:rsid w:val="00675373"/>
    <w:rsid w:val="006D643C"/>
    <w:rsid w:val="00711B2D"/>
    <w:rsid w:val="007B582D"/>
    <w:rsid w:val="00831686"/>
    <w:rsid w:val="008B1D18"/>
    <w:rsid w:val="00B01330"/>
    <w:rsid w:val="00B3410F"/>
    <w:rsid w:val="00B94849"/>
    <w:rsid w:val="00C61F58"/>
    <w:rsid w:val="00CB48EE"/>
    <w:rsid w:val="00E22FFD"/>
    <w:rsid w:val="00E25352"/>
    <w:rsid w:val="00E61849"/>
    <w:rsid w:val="00F2070D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1000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2025-07-10T08:24:00Z</dcterms:created>
  <dcterms:modified xsi:type="dcterms:W3CDTF">2025-07-31T04:11:00Z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