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31AAC231" w:rsidR="000618FE" w:rsidRPr="006211DE" w:rsidRDefault="005A1EFD" w:rsidP="00F2070D">
      <w:pPr>
        <w:spacing w:after="0"/>
        <w:rPr>
          <w:rFonts w:ascii="Arial" w:hAnsi="Arial" w:cs="Arial"/>
          <w:lang w:val="en-US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6211DE" w:rsidRPr="006211DE">
        <w:rPr>
          <w:rFonts w:ascii="Arial" w:hAnsi="Arial" w:cs="Arial"/>
          <w:lang w:val="en-US"/>
        </w:rPr>
        <w:t>Pelayanan</w:t>
      </w:r>
      <w:proofErr w:type="spellEnd"/>
      <w:r w:rsidR="006211DE" w:rsidRPr="006211DE">
        <w:rPr>
          <w:rFonts w:ascii="Arial" w:hAnsi="Arial" w:cs="Arial"/>
          <w:lang w:val="en-US"/>
        </w:rPr>
        <w:t xml:space="preserve"> </w:t>
      </w:r>
      <w:proofErr w:type="spellStart"/>
      <w:r w:rsidR="006211DE" w:rsidRPr="006211DE">
        <w:rPr>
          <w:rFonts w:ascii="Arial" w:hAnsi="Arial" w:cs="Arial"/>
          <w:lang w:val="en-US"/>
        </w:rPr>
        <w:t>Pengangkutan</w:t>
      </w:r>
      <w:proofErr w:type="spellEnd"/>
      <w:r w:rsidR="006211DE" w:rsidRPr="006211DE">
        <w:rPr>
          <w:rFonts w:ascii="Arial" w:hAnsi="Arial" w:cs="Arial"/>
          <w:lang w:val="en-US"/>
        </w:rPr>
        <w:t xml:space="preserve"> </w:t>
      </w:r>
      <w:proofErr w:type="spellStart"/>
      <w:r w:rsidR="006211DE" w:rsidRPr="006211DE">
        <w:rPr>
          <w:rFonts w:ascii="Arial" w:hAnsi="Arial" w:cs="Arial"/>
          <w:lang w:val="en-US"/>
        </w:rPr>
        <w:t>dengan</w:t>
      </w:r>
      <w:proofErr w:type="spellEnd"/>
      <w:r w:rsidR="006211DE" w:rsidRPr="006211DE">
        <w:rPr>
          <w:rFonts w:ascii="Arial" w:hAnsi="Arial" w:cs="Arial"/>
          <w:lang w:val="en-US"/>
        </w:rPr>
        <w:t xml:space="preserve"> </w:t>
      </w:r>
      <w:proofErr w:type="spellStart"/>
      <w:r w:rsidR="006211DE" w:rsidRPr="006211DE">
        <w:rPr>
          <w:rFonts w:ascii="Arial" w:hAnsi="Arial" w:cs="Arial"/>
          <w:lang w:val="en-US"/>
        </w:rPr>
        <w:t>Penggunaan</w:t>
      </w:r>
      <w:proofErr w:type="spellEnd"/>
      <w:r w:rsidR="006211DE" w:rsidRPr="006211DE">
        <w:rPr>
          <w:rFonts w:ascii="Arial" w:hAnsi="Arial" w:cs="Arial"/>
          <w:lang w:val="en-US"/>
        </w:rPr>
        <w:t xml:space="preserve"> Tanda </w:t>
      </w:r>
      <w:proofErr w:type="spellStart"/>
      <w:r w:rsidR="006211DE" w:rsidRPr="006211DE">
        <w:rPr>
          <w:rFonts w:ascii="Arial" w:hAnsi="Arial" w:cs="Arial"/>
          <w:lang w:val="en-US"/>
        </w:rPr>
        <w:t>Pengaman</w:t>
      </w:r>
      <w:proofErr w:type="spellEnd"/>
      <w:r w:rsidR="006211DE" w:rsidRPr="006211DE">
        <w:rPr>
          <w:rFonts w:ascii="Arial" w:hAnsi="Arial" w:cs="Arial"/>
          <w:lang w:val="en-US"/>
        </w:rPr>
        <w:t xml:space="preserve"> Manual dan</w:t>
      </w:r>
      <w:r w:rsidR="006211DE">
        <w:rPr>
          <w:rFonts w:ascii="Arial" w:hAnsi="Arial" w:cs="Arial"/>
          <w:lang w:val="en-US"/>
        </w:rPr>
        <w:t xml:space="preserve"> </w:t>
      </w:r>
      <w:proofErr w:type="spellStart"/>
      <w:r w:rsidR="006211DE" w:rsidRPr="006211DE">
        <w:rPr>
          <w:rFonts w:ascii="Arial" w:hAnsi="Arial" w:cs="Arial"/>
          <w:lang w:val="en-US"/>
        </w:rPr>
        <w:t>Penyerahan</w:t>
      </w:r>
      <w:proofErr w:type="spellEnd"/>
      <w:r w:rsidR="006211DE" w:rsidRPr="006211DE">
        <w:rPr>
          <w:rFonts w:ascii="Arial" w:hAnsi="Arial" w:cs="Arial"/>
          <w:lang w:val="en-US"/>
        </w:rPr>
        <w:t xml:space="preserve"> </w:t>
      </w:r>
      <w:proofErr w:type="spellStart"/>
      <w:r w:rsidR="006211DE" w:rsidRPr="006211DE">
        <w:rPr>
          <w:rFonts w:ascii="Arial" w:hAnsi="Arial" w:cs="Arial"/>
          <w:lang w:val="en-US"/>
        </w:rPr>
        <w:t>Jaminan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3E780AFA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6211DE">
        <w:rPr>
          <w:rFonts w:ascii="Arial" w:hAnsi="Arial" w:cs="Arial"/>
        </w:rPr>
        <w:t>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15"/>
      </w:tblGrid>
      <w:tr w:rsidR="006211DE" w:rsidRPr="006211DE" w14:paraId="607AA97E" w14:textId="77777777" w:rsidTr="006211DE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FE4C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A984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0E2D4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6211DE" w:rsidRPr="006211DE" w14:paraId="14B057EF" w14:textId="77777777" w:rsidTr="006211DE">
        <w:trPr>
          <w:trHeight w:hRule="exact" w:val="9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535BE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B943D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562B650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8DFDA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manual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penyerahan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</w:p>
        </w:tc>
      </w:tr>
      <w:tr w:rsidR="006211DE" w:rsidRPr="006211DE" w14:paraId="7AC199F9" w14:textId="77777777" w:rsidTr="00272922">
        <w:trPr>
          <w:trHeight w:hRule="exact" w:val="1030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A25F8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F7323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0C999" w14:textId="02E56E9F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1.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/</w:t>
            </w:r>
            <w:proofErr w:type="spellStart"/>
            <w:proofErr w:type="gramStart"/>
            <w:r w:rsidRPr="006211D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TPS</w:t>
            </w:r>
            <w:proofErr w:type="gram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menyampaikan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manual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penyerahan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kantor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penerimaan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SKP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email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pesan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sejenis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.</w:t>
            </w:r>
          </w:p>
          <w:p w14:paraId="4972E226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2.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.</w:t>
            </w:r>
          </w:p>
          <w:p w14:paraId="575AB77A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:</w:t>
            </w:r>
          </w:p>
          <w:p w14:paraId="4E3D9DD5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a.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6211DE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kekurangan</w:t>
            </w:r>
            <w:proofErr w:type="spellEnd"/>
            <w:proofErr w:type="gram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.</w:t>
            </w:r>
          </w:p>
          <w:p w14:paraId="2CDCDE67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b.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TPS.</w:t>
            </w:r>
          </w:p>
          <w:p w14:paraId="304CF015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4.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yang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:</w:t>
            </w:r>
          </w:p>
          <w:p w14:paraId="12A3273B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data;</w:t>
            </w:r>
          </w:p>
          <w:p w14:paraId="1824AE7F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b.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211DE">
              <w:rPr>
                <w:rFonts w:ascii="Arial" w:hAnsi="Arial" w:cs="Arial"/>
                <w:lang w:val="en-US"/>
              </w:rPr>
              <w:t>Ketersediaan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proofErr w:type="gram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berbasis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;</w:t>
            </w:r>
          </w:p>
          <w:p w14:paraId="5246EA1E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Profil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; dan d.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Profil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</w:t>
            </w:r>
            <w:proofErr w:type="spellEnd"/>
          </w:p>
          <w:p w14:paraId="059072A5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:</w:t>
            </w:r>
          </w:p>
          <w:p w14:paraId="118ACD15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a.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eletronik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  <w:p w14:paraId="3AB5B097" w14:textId="77777777" w:rsid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b.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berbasis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Persetujuan</w:t>
            </w:r>
            <w:proofErr w:type="spellEnd"/>
          </w:p>
          <w:p w14:paraId="67445FFA" w14:textId="77777777" w:rsidR="00272922" w:rsidRPr="006211DE" w:rsidRDefault="00272922" w:rsidP="00272922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6.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/Surat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.</w:t>
            </w:r>
          </w:p>
          <w:p w14:paraId="4522F2D4" w14:textId="77777777" w:rsidR="00272922" w:rsidRPr="006211DE" w:rsidRDefault="00272922" w:rsidP="00272922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7.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mensyaratkan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penyerahan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penyerahan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Perbendaharaan</w:t>
            </w:r>
            <w:proofErr w:type="spellEnd"/>
          </w:p>
          <w:p w14:paraId="68CA9644" w14:textId="77777777" w:rsidR="00272922" w:rsidRPr="006211DE" w:rsidRDefault="00272922" w:rsidP="00272922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8.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Bea     dan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di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Perbendaharaan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prosedur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penerimaan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Bukti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Penerimaan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(BPJ)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Pengangkut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TPS.</w:t>
            </w:r>
          </w:p>
          <w:p w14:paraId="14EA4765" w14:textId="3EF39415" w:rsidR="00272922" w:rsidRPr="006211DE" w:rsidRDefault="00272922" w:rsidP="00272922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proofErr w:type="gram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mensyaratkan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pengawalan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pada  unit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pengawalan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.</w:t>
            </w:r>
          </w:p>
        </w:tc>
      </w:tr>
      <w:tr w:rsidR="006211DE" w14:paraId="4AE8DA84" w14:textId="77777777" w:rsidTr="00272922">
        <w:trPr>
          <w:trHeight w:hRule="exact" w:val="99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ECC7E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3C1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Waktu</w:t>
            </w:r>
          </w:p>
          <w:p w14:paraId="11A91EC2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DC26F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Paling lama 2 (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dua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secara lengkap</w:t>
            </w:r>
          </w:p>
        </w:tc>
      </w:tr>
      <w:tr w:rsidR="006211DE" w14:paraId="3FF9BDD4" w14:textId="77777777" w:rsidTr="00272922">
        <w:trPr>
          <w:trHeight w:hRule="exact" w:val="24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CAA6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23432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93F99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6211DE" w14:paraId="017193BF" w14:textId="77777777" w:rsidTr="00272922">
        <w:trPr>
          <w:trHeight w:hRule="exact" w:val="467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44169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E395A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B143B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  <w:p w14:paraId="26F3C971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a.</w:t>
            </w:r>
            <w:r w:rsidRPr="006211DE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diterbitkan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tersedia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.</w:t>
            </w:r>
          </w:p>
          <w:p w14:paraId="7183BBC1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b.   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sistem</w:t>
            </w:r>
            <w:proofErr w:type="spellEnd"/>
          </w:p>
          <w:p w14:paraId="65C6E04C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pengamanan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diserahkan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,</w:t>
            </w:r>
          </w:p>
          <w:p w14:paraId="1997AB8A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impor</w:t>
            </w:r>
            <w:proofErr w:type="spellEnd"/>
          </w:p>
          <w:p w14:paraId="6A9C7E22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-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manual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;</w:t>
            </w:r>
          </w:p>
          <w:p w14:paraId="109FD69D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-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manual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pengawalan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5EF90CF7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-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manual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pengawalan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jaminan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.</w:t>
            </w:r>
          </w:p>
          <w:p w14:paraId="137347F5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2)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ekspor</w:t>
            </w:r>
            <w:proofErr w:type="spellEnd"/>
          </w:p>
          <w:p w14:paraId="489C4EE1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-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manual; atau</w:t>
            </w:r>
          </w:p>
          <w:p w14:paraId="2F8AF584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-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pengaman</w:t>
            </w:r>
            <w:proofErr w:type="spellEnd"/>
          </w:p>
          <w:p w14:paraId="00F99263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 xml:space="preserve">manual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pengawalan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.</w:t>
            </w:r>
          </w:p>
        </w:tc>
      </w:tr>
      <w:tr w:rsidR="006211DE" w14:paraId="5823CBE1" w14:textId="77777777" w:rsidTr="00272922">
        <w:trPr>
          <w:trHeight w:hRule="exact" w:val="357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DA734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470A9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211DE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2CACC" w14:textId="77777777" w:rsidR="006211DE" w:rsidRP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1.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6211DE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6211DE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6211DE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4C6FCBC8" w14:textId="77777777" w:rsidR="006211DE" w:rsidRDefault="006211DE" w:rsidP="006211DE">
            <w:pPr>
              <w:spacing w:after="0"/>
              <w:rPr>
                <w:rFonts w:ascii="Arial" w:hAnsi="Arial" w:cs="Arial"/>
                <w:lang w:val="en-US"/>
              </w:rPr>
            </w:pPr>
            <w:r w:rsidRPr="006211DE">
              <w:rPr>
                <w:rFonts w:ascii="Arial" w:hAnsi="Arial" w:cs="Arial"/>
                <w:lang w:val="en-US"/>
              </w:rPr>
              <w:t>2.</w:t>
            </w:r>
            <w:r w:rsidRPr="006211D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6211DE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6211DE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7D14EB8B" w14:textId="6A30B532" w:rsidR="00272922" w:rsidRDefault="00272922" w:rsidP="00272922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        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272922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272922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saluran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72922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272922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  <w:p w14:paraId="754AF848" w14:textId="77777777" w:rsidR="00272922" w:rsidRPr="006211DE" w:rsidRDefault="00272922" w:rsidP="006211DE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</w:tbl>
    <w:p w14:paraId="4AF5282B" w14:textId="77777777" w:rsidR="00272922" w:rsidRDefault="00272922" w:rsidP="00F2070D">
      <w:pPr>
        <w:spacing w:after="0"/>
        <w:rPr>
          <w:rFonts w:ascii="Arial" w:hAnsi="Arial" w:cs="Arial"/>
          <w:lang w:val="en-US"/>
        </w:rPr>
      </w:pPr>
    </w:p>
    <w:sectPr w:rsidR="00272922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BCAF" w14:textId="77777777" w:rsidR="00000000" w:rsidRDefault="00BF01DD">
      <w:pPr>
        <w:spacing w:after="0" w:line="240" w:lineRule="auto"/>
      </w:pPr>
      <w:r>
        <w:separator/>
      </w:r>
    </w:p>
  </w:endnote>
  <w:endnote w:type="continuationSeparator" w:id="0">
    <w:p w14:paraId="7B0F1885" w14:textId="77777777" w:rsidR="00000000" w:rsidRDefault="00BF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FDC3" w14:textId="77777777" w:rsidR="00000000" w:rsidRDefault="00BF01DD">
      <w:pPr>
        <w:spacing w:after="0" w:line="240" w:lineRule="auto"/>
      </w:pPr>
      <w:r>
        <w:separator/>
      </w:r>
    </w:p>
  </w:footnote>
  <w:footnote w:type="continuationSeparator" w:id="0">
    <w:p w14:paraId="5E64035C" w14:textId="77777777" w:rsidR="00000000" w:rsidRDefault="00BF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211752"/>
    <w:rsid w:val="00272922"/>
    <w:rsid w:val="002E5D14"/>
    <w:rsid w:val="00314608"/>
    <w:rsid w:val="004C13DA"/>
    <w:rsid w:val="005A1EFD"/>
    <w:rsid w:val="006211DE"/>
    <w:rsid w:val="006245A9"/>
    <w:rsid w:val="006627B1"/>
    <w:rsid w:val="00675373"/>
    <w:rsid w:val="006D643C"/>
    <w:rsid w:val="00711B2D"/>
    <w:rsid w:val="00831686"/>
    <w:rsid w:val="00BF01DD"/>
    <w:rsid w:val="00CB48EE"/>
    <w:rsid w:val="00E22FFD"/>
    <w:rsid w:val="00E25352"/>
    <w:rsid w:val="00F2070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2025-07-10T07:48:00Z</dcterms:created>
  <dcterms:modified xsi:type="dcterms:W3CDTF">2025-07-31T04:10:00Z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