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04FD" w14:textId="77777777" w:rsidR="00584011" w:rsidRPr="00584011" w:rsidRDefault="005A1EFD" w:rsidP="00584011">
      <w:pPr>
        <w:spacing w:after="0"/>
        <w:rPr>
          <w:rFonts w:ascii="Arial" w:hAnsi="Arial" w:cs="Arial"/>
        </w:rPr>
      </w:pPr>
      <w:proofErr w:type="spellStart"/>
      <w:r w:rsidRPr="001260E7">
        <w:rPr>
          <w:rFonts w:ascii="Arial" w:hAnsi="Arial" w:cs="Arial"/>
        </w:rPr>
        <w:t>Judul</w:t>
      </w:r>
      <w:proofErr w:type="spellEnd"/>
      <w:r w:rsidRPr="001260E7">
        <w:rPr>
          <w:rFonts w:ascii="Arial" w:hAnsi="Arial" w:cs="Arial"/>
        </w:rPr>
        <w:t xml:space="preserve"> </w:t>
      </w:r>
      <w:proofErr w:type="spellStart"/>
      <w:r w:rsidRPr="001260E7">
        <w:rPr>
          <w:rFonts w:ascii="Arial" w:hAnsi="Arial" w:cs="Arial"/>
        </w:rPr>
        <w:t>Produk</w:t>
      </w:r>
      <w:proofErr w:type="spellEnd"/>
      <w:r w:rsidRPr="001260E7">
        <w:rPr>
          <w:rFonts w:ascii="Arial" w:hAnsi="Arial" w:cs="Arial"/>
        </w:rPr>
        <w:t xml:space="preserve"> </w:t>
      </w:r>
      <w:proofErr w:type="spellStart"/>
      <w:r w:rsidRPr="001260E7">
        <w:rPr>
          <w:rFonts w:ascii="Arial" w:hAnsi="Arial" w:cs="Arial"/>
        </w:rPr>
        <w:t>Pelayanan</w:t>
      </w:r>
      <w:proofErr w:type="spellEnd"/>
      <w:r w:rsidRPr="001260E7">
        <w:rPr>
          <w:rFonts w:ascii="Arial" w:hAnsi="Arial" w:cs="Arial"/>
        </w:rPr>
        <w:tab/>
        <w:t>:</w:t>
      </w:r>
      <w:r w:rsidR="002F1D68" w:rsidRPr="001260E7">
        <w:rPr>
          <w:rFonts w:ascii="Arial" w:hAnsi="Arial" w:cs="Arial"/>
        </w:rPr>
        <w:t xml:space="preserve"> </w:t>
      </w:r>
      <w:proofErr w:type="spellStart"/>
      <w:r w:rsidR="00584011" w:rsidRPr="00584011">
        <w:rPr>
          <w:rFonts w:ascii="Arial" w:hAnsi="Arial" w:cs="Arial"/>
        </w:rPr>
        <w:t>Permohonan</w:t>
      </w:r>
      <w:proofErr w:type="spellEnd"/>
      <w:r w:rsidR="00584011" w:rsidRPr="00584011">
        <w:rPr>
          <w:rFonts w:ascii="Arial" w:hAnsi="Arial" w:cs="Arial"/>
        </w:rPr>
        <w:t xml:space="preserve"> </w:t>
      </w:r>
      <w:proofErr w:type="spellStart"/>
      <w:r w:rsidR="00584011" w:rsidRPr="00584011">
        <w:rPr>
          <w:rFonts w:ascii="Arial" w:hAnsi="Arial" w:cs="Arial"/>
        </w:rPr>
        <w:t>Perpanjangan</w:t>
      </w:r>
      <w:proofErr w:type="spellEnd"/>
      <w:r w:rsidR="00584011" w:rsidRPr="00584011">
        <w:rPr>
          <w:rFonts w:ascii="Arial" w:hAnsi="Arial" w:cs="Arial"/>
        </w:rPr>
        <w:t xml:space="preserve"> </w:t>
      </w:r>
      <w:proofErr w:type="spellStart"/>
      <w:r w:rsidR="00584011" w:rsidRPr="00584011">
        <w:rPr>
          <w:rFonts w:ascii="Arial" w:hAnsi="Arial" w:cs="Arial"/>
        </w:rPr>
        <w:t>Jangka</w:t>
      </w:r>
      <w:proofErr w:type="spellEnd"/>
      <w:r w:rsidR="00584011" w:rsidRPr="00584011">
        <w:rPr>
          <w:rFonts w:ascii="Arial" w:hAnsi="Arial" w:cs="Arial"/>
        </w:rPr>
        <w:t xml:space="preserve"> Waktu </w:t>
      </w:r>
      <w:proofErr w:type="spellStart"/>
      <w:r w:rsidR="00584011" w:rsidRPr="00584011">
        <w:rPr>
          <w:rFonts w:ascii="Arial" w:hAnsi="Arial" w:cs="Arial"/>
        </w:rPr>
        <w:t>Realisasi</w:t>
      </w:r>
      <w:proofErr w:type="spellEnd"/>
      <w:r w:rsidR="00584011" w:rsidRPr="00584011">
        <w:rPr>
          <w:rFonts w:ascii="Arial" w:hAnsi="Arial" w:cs="Arial"/>
        </w:rPr>
        <w:t xml:space="preserve"> </w:t>
      </w:r>
      <w:proofErr w:type="spellStart"/>
      <w:r w:rsidR="00584011" w:rsidRPr="00584011">
        <w:rPr>
          <w:rFonts w:ascii="Arial" w:hAnsi="Arial" w:cs="Arial"/>
        </w:rPr>
        <w:t>Ekspor</w:t>
      </w:r>
      <w:proofErr w:type="spellEnd"/>
      <w:r w:rsidR="00584011" w:rsidRPr="00584011">
        <w:rPr>
          <w:rFonts w:ascii="Arial" w:hAnsi="Arial" w:cs="Arial"/>
        </w:rPr>
        <w:t xml:space="preserve"> </w:t>
      </w:r>
      <w:proofErr w:type="spellStart"/>
      <w:r w:rsidR="00584011" w:rsidRPr="00584011">
        <w:rPr>
          <w:rFonts w:ascii="Arial" w:hAnsi="Arial" w:cs="Arial"/>
        </w:rPr>
        <w:t>dalam</w:t>
      </w:r>
      <w:proofErr w:type="spellEnd"/>
      <w:r w:rsidR="00584011" w:rsidRPr="00584011">
        <w:rPr>
          <w:rFonts w:ascii="Arial" w:hAnsi="Arial" w:cs="Arial"/>
        </w:rPr>
        <w:t xml:space="preserve"> Rangka</w:t>
      </w:r>
    </w:p>
    <w:p w14:paraId="4C0FA83C" w14:textId="29D74C35" w:rsidR="000618FE" w:rsidRPr="001260E7" w:rsidRDefault="00584011" w:rsidP="00584011">
      <w:pPr>
        <w:spacing w:after="0"/>
        <w:rPr>
          <w:rFonts w:ascii="Arial" w:hAnsi="Arial" w:cs="Arial"/>
        </w:rPr>
      </w:pPr>
      <w:r w:rsidRPr="00584011">
        <w:rPr>
          <w:rFonts w:ascii="Arial" w:hAnsi="Arial" w:cs="Arial"/>
        </w:rPr>
        <w:t xml:space="preserve">KITE </w:t>
      </w:r>
      <w:proofErr w:type="spellStart"/>
      <w:r w:rsidRPr="00584011">
        <w:rPr>
          <w:rFonts w:ascii="Arial" w:hAnsi="Arial" w:cs="Arial"/>
        </w:rPr>
        <w:t>Pengembalian</w:t>
      </w:r>
      <w:proofErr w:type="spellEnd"/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08C21FE9" w14:textId="054EFEC7" w:rsidR="00514049" w:rsidRDefault="005A1EFD" w:rsidP="00514049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C029F8">
        <w:rPr>
          <w:rFonts w:ascii="Arial" w:hAnsi="Arial" w:cs="Arial"/>
        </w:rPr>
        <w:t>4</w:t>
      </w:r>
      <w:r w:rsidR="00584011">
        <w:rPr>
          <w:rFonts w:ascii="Arial" w:hAnsi="Arial" w:cs="Arial"/>
        </w:rPr>
        <w:t>1</w:t>
      </w:r>
    </w:p>
    <w:p w14:paraId="0650FF6E" w14:textId="77777777" w:rsidR="00587E98" w:rsidRDefault="00587E98" w:rsidP="00514049">
      <w:pPr>
        <w:spacing w:after="0"/>
        <w:rPr>
          <w:rFonts w:ascii="Arial" w:hAnsi="Arial" w:cs="Arial"/>
        </w:rPr>
      </w:pPr>
    </w:p>
    <w:p w14:paraId="45BE5C54" w14:textId="77777777" w:rsidR="00B87E21" w:rsidRPr="00B87E21" w:rsidRDefault="00B87E21" w:rsidP="00B87E21">
      <w:pPr>
        <w:spacing w:after="0" w:line="240" w:lineRule="auto"/>
        <w:ind w:left="498" w:right="62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B87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22"/>
        <w:gridCol w:w="6730"/>
      </w:tblGrid>
      <w:tr w:rsidR="00B87E21" w:rsidRPr="00B87E21" w14:paraId="37D6BB42" w14:textId="77777777" w:rsidTr="00FE0026">
        <w:trPr>
          <w:trHeight w:hRule="exact" w:val="45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CE45" w14:textId="77777777" w:rsidR="00B87E21" w:rsidRPr="00B87E21" w:rsidRDefault="00B87E21" w:rsidP="00B87E21">
            <w:pPr>
              <w:spacing w:before="84" w:after="0" w:line="240" w:lineRule="auto"/>
              <w:ind w:left="1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F90C" w14:textId="77777777" w:rsidR="00B87E21" w:rsidRPr="00B87E21" w:rsidRDefault="00B87E21" w:rsidP="00B87E21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FBE0" w14:textId="77777777" w:rsidR="00B87E21" w:rsidRPr="00B87E21" w:rsidRDefault="00B87E21" w:rsidP="00B87E21">
            <w:pPr>
              <w:spacing w:before="84" w:after="0" w:line="240" w:lineRule="auto"/>
              <w:ind w:left="2956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B87E21" w:rsidRPr="00B87E21" w14:paraId="60A2B001" w14:textId="77777777" w:rsidTr="00FE0026">
        <w:trPr>
          <w:trHeight w:hRule="exact" w:val="228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A89F" w14:textId="77777777" w:rsidR="00B87E21" w:rsidRPr="00B87E21" w:rsidRDefault="00B87E21" w:rsidP="00B87E21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A6D7" w14:textId="77777777" w:rsidR="00B87E21" w:rsidRPr="00B87E21" w:rsidRDefault="00B87E21" w:rsidP="00B87E2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6017" w14:textId="77777777" w:rsidR="00B87E21" w:rsidRPr="00B87E21" w:rsidRDefault="00B87E21" w:rsidP="00B87E21">
            <w:pPr>
              <w:spacing w:after="0" w:line="240" w:lineRule="exact"/>
              <w:ind w:left="66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87E2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</w:t>
            </w:r>
            <w:r w:rsidRPr="00B87E2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04075855" w14:textId="77777777" w:rsidR="00B87E21" w:rsidRPr="00B87E21" w:rsidRDefault="00B87E21" w:rsidP="00B87E21">
            <w:pPr>
              <w:spacing w:before="38" w:after="0" w:line="240" w:lineRule="auto"/>
              <w:ind w:left="424" w:right="53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Realisasi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Ekspor Dalam Rangka KITE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8D45FAA" w14:textId="77777777" w:rsidR="00B87E21" w:rsidRPr="00B87E21" w:rsidRDefault="00B87E21" w:rsidP="00B87E21">
            <w:pPr>
              <w:spacing w:before="38" w:after="0" w:line="276" w:lineRule="auto"/>
              <w:ind w:left="460" w:right="65" w:hanging="35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666CBBB" w14:textId="77777777" w:rsidR="00B87E21" w:rsidRPr="00B87E21" w:rsidRDefault="00B87E21" w:rsidP="00B87E21">
            <w:pPr>
              <w:spacing w:before="1" w:after="0" w:line="276" w:lineRule="auto"/>
              <w:ind w:left="460" w:right="65" w:hanging="35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Realisasi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Dalam Rangka KITE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87E21" w:rsidRPr="00B87E21" w14:paraId="14568C8B" w14:textId="77777777" w:rsidTr="00FE0026">
        <w:trPr>
          <w:trHeight w:hRule="exact" w:val="1159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5EE" w14:textId="77777777" w:rsidR="00B87E21" w:rsidRPr="00B87E21" w:rsidRDefault="00B87E21" w:rsidP="00B87E21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670F" w14:textId="77777777" w:rsidR="00B87E21" w:rsidRPr="00B87E21" w:rsidRDefault="00B87E21" w:rsidP="00B87E2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4F6D7DFE" w14:textId="77777777" w:rsidR="00B87E21" w:rsidRPr="00B87E21" w:rsidRDefault="00B87E21" w:rsidP="00B87E2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676B" w14:textId="77777777" w:rsidR="00B87E21" w:rsidRPr="00B87E21" w:rsidRDefault="00B87E21" w:rsidP="00B87E21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87E2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</w:p>
          <w:p w14:paraId="03974E2A" w14:textId="77777777" w:rsidR="00B87E21" w:rsidRPr="00B87E21" w:rsidRDefault="00B87E21" w:rsidP="00B87E21">
            <w:pPr>
              <w:spacing w:before="38" w:after="0" w:line="276" w:lineRule="auto"/>
              <w:ind w:left="425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Realisasi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E9E5003" w14:textId="77777777" w:rsidR="00B87E21" w:rsidRPr="00B87E21" w:rsidRDefault="00B87E21" w:rsidP="00B87E21">
            <w:pPr>
              <w:tabs>
                <w:tab w:val="left" w:pos="1900"/>
              </w:tabs>
              <w:spacing w:before="1" w:after="0" w:line="276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Dalam</w:t>
            </w:r>
            <w:r w:rsidRPr="00B87E2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87E2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email, </w:t>
            </w:r>
            <w:r w:rsidRPr="00B87E2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pesan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sejenisnya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A706A1D" w14:textId="77777777" w:rsidR="00B87E21" w:rsidRPr="00B87E21" w:rsidRDefault="00B87E21" w:rsidP="00B87E21">
            <w:pPr>
              <w:spacing w:before="1" w:after="0" w:line="276" w:lineRule="auto"/>
              <w:ind w:left="849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87E2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B87E2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45A3D15F" w14:textId="77777777" w:rsidR="00B87E21" w:rsidRPr="00B87E21" w:rsidRDefault="00B87E21" w:rsidP="00B87E21">
            <w:pPr>
              <w:spacing w:before="1" w:after="0" w:line="276" w:lineRule="auto"/>
              <w:ind w:left="849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87E2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B87E2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alas an.</w:t>
            </w:r>
          </w:p>
          <w:p w14:paraId="38A406A6" w14:textId="77777777" w:rsidR="00B87E21" w:rsidRPr="00B87E21" w:rsidRDefault="00B87E21" w:rsidP="00B87E21">
            <w:pPr>
              <w:spacing w:before="1" w:after="0" w:line="276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Dalam</w:t>
            </w:r>
            <w:r w:rsidRPr="00B87E2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SKP,</w:t>
            </w:r>
            <w:r w:rsidRPr="00B87E2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B87E2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79FDFAE" w14:textId="77777777" w:rsidR="00B87E21" w:rsidRPr="00B87E21" w:rsidRDefault="00B87E21" w:rsidP="00B87E21">
            <w:pPr>
              <w:spacing w:before="1" w:after="0" w:line="276" w:lineRule="auto"/>
              <w:ind w:left="849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87E2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B87E2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87E2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B54D3BB" w14:textId="77777777" w:rsidR="00B87E21" w:rsidRPr="00B87E21" w:rsidRDefault="00B87E21" w:rsidP="00B87E21">
            <w:pPr>
              <w:spacing w:before="1" w:after="0" w:line="276" w:lineRule="auto"/>
              <w:ind w:left="849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87E2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87E2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87E2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04B6548" w14:textId="77777777" w:rsidR="00B87E21" w:rsidRPr="00B87E21" w:rsidRDefault="00B87E21" w:rsidP="00B87E21">
            <w:pPr>
              <w:tabs>
                <w:tab w:val="left" w:pos="1340"/>
              </w:tabs>
              <w:spacing w:before="1" w:after="0" w:line="276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B87E2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B87E2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Realisasi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Dalam Rangka KITE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keberadaan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779456A" w14:textId="77777777" w:rsidR="00B87E21" w:rsidRPr="00B87E21" w:rsidRDefault="00B87E21" w:rsidP="00B87E21">
            <w:pPr>
              <w:spacing w:before="1" w:after="0" w:line="276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keberadaan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268A735" w14:textId="77777777" w:rsidR="00B87E21" w:rsidRPr="00B87E21" w:rsidRDefault="00B87E21" w:rsidP="00B87E21">
            <w:pPr>
              <w:tabs>
                <w:tab w:val="left" w:pos="2600"/>
              </w:tabs>
              <w:spacing w:before="1" w:after="0" w:line="276" w:lineRule="auto"/>
              <w:ind w:left="708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Surat    </w:t>
            </w:r>
            <w:r w:rsidRPr="00B87E2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87E2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87E2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  </w:t>
            </w:r>
            <w:r w:rsidRPr="00B87E2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Penegmbalian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87E2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87E2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3E382D5" w14:textId="77777777" w:rsidR="00B87E21" w:rsidRPr="00B87E21" w:rsidRDefault="00B87E21" w:rsidP="00B87E21">
            <w:pPr>
              <w:spacing w:before="1" w:after="0" w:line="276" w:lineRule="auto"/>
              <w:ind w:left="708" w:right="65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Surat  </w:t>
            </w:r>
            <w:r w:rsidRPr="00B87E2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Waktu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Realisasi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Dalam</w:t>
            </w:r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Rangka KITE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B87E2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A1EF268" w14:textId="77777777" w:rsidR="00B87E21" w:rsidRPr="00B87E21" w:rsidRDefault="00B87E21" w:rsidP="00B87E21">
            <w:pPr>
              <w:spacing w:before="1" w:after="0" w:line="276" w:lineRule="auto"/>
              <w:ind w:left="4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Kanwil/ KPU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Realisasi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Rangka KITE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</w:p>
          <w:p w14:paraId="30464F22" w14:textId="77777777" w:rsidR="00B87E21" w:rsidRPr="00B87E21" w:rsidRDefault="00B87E21" w:rsidP="00B87E21">
            <w:pPr>
              <w:tabs>
                <w:tab w:val="left" w:pos="2620"/>
              </w:tabs>
              <w:spacing w:before="1" w:after="0" w:line="276" w:lineRule="auto"/>
              <w:ind w:left="42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B87E2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mengadministrasikan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mendistribusikan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Surat   </w:t>
            </w:r>
            <w:r w:rsidRPr="00B87E2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87E2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Realisasi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</w:p>
        </w:tc>
      </w:tr>
    </w:tbl>
    <w:p w14:paraId="575A6505" w14:textId="77777777" w:rsidR="00B87E21" w:rsidRPr="00B87E21" w:rsidRDefault="00B87E21" w:rsidP="00B87E2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87E21" w:rsidRPr="00B87E21" w:rsidSect="00B87E21">
          <w:pgSz w:w="12240" w:h="18720"/>
          <w:pgMar w:top="780" w:right="920" w:bottom="280" w:left="920" w:header="742" w:footer="0" w:gutter="0"/>
          <w:cols w:space="720"/>
        </w:sectPr>
      </w:pPr>
    </w:p>
    <w:p w14:paraId="41E25752" w14:textId="77777777" w:rsidR="00B87E21" w:rsidRPr="00B87E21" w:rsidRDefault="00B87E21" w:rsidP="00B87E2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3CAAD9" w14:textId="77777777" w:rsidR="00B87E21" w:rsidRPr="00B87E21" w:rsidRDefault="00B87E21" w:rsidP="00B87E2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9731A4D" w14:textId="77777777" w:rsidR="00B87E21" w:rsidRPr="00B87E21" w:rsidRDefault="00B87E21" w:rsidP="00B87E21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22"/>
        <w:gridCol w:w="6730"/>
      </w:tblGrid>
      <w:tr w:rsidR="00B87E21" w:rsidRPr="00B87E21" w14:paraId="618FACC1" w14:textId="77777777" w:rsidTr="00FE0026">
        <w:trPr>
          <w:trHeight w:hRule="exact" w:val="50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E325" w14:textId="77777777" w:rsidR="00B87E21" w:rsidRPr="00B87E21" w:rsidRDefault="00B87E21" w:rsidP="00B87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737" w14:textId="77777777" w:rsidR="00B87E21" w:rsidRPr="00B87E21" w:rsidRDefault="00B87E21" w:rsidP="00B87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9DBA" w14:textId="77777777" w:rsidR="00B87E21" w:rsidRPr="00B87E21" w:rsidRDefault="00B87E21" w:rsidP="00B87E21">
            <w:pPr>
              <w:spacing w:after="0" w:line="240" w:lineRule="exact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B87E21" w:rsidRPr="00B87E21" w14:paraId="4C6DC37E" w14:textId="77777777" w:rsidTr="00FE0026">
        <w:trPr>
          <w:trHeight w:hRule="exact" w:val="288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4D31" w14:textId="77777777" w:rsidR="00B87E21" w:rsidRPr="00B87E21" w:rsidRDefault="00B87E21" w:rsidP="00B87E21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2BEA" w14:textId="77777777" w:rsidR="00B87E21" w:rsidRPr="00B87E21" w:rsidRDefault="00B87E21" w:rsidP="00B87E2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7D42850C" w14:textId="77777777" w:rsidR="00B87E21" w:rsidRPr="00B87E21" w:rsidRDefault="00B87E21" w:rsidP="00B87E2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23C7" w14:textId="77777777" w:rsidR="00B87E21" w:rsidRPr="00B87E21" w:rsidRDefault="00B87E21" w:rsidP="00B87E21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87E2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B87E2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lima) </w:t>
            </w:r>
            <w:r w:rsidRPr="00B87E2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proofErr w:type="gramEnd"/>
          </w:p>
          <w:p w14:paraId="53248466" w14:textId="77777777" w:rsidR="00B87E21" w:rsidRPr="00B87E21" w:rsidRDefault="00B87E21" w:rsidP="00B87E21">
            <w:pPr>
              <w:spacing w:before="38" w:after="0" w:line="276" w:lineRule="auto"/>
              <w:ind w:left="42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AF827AE" w14:textId="77777777" w:rsidR="00B87E21" w:rsidRPr="00B87E21" w:rsidRDefault="00B87E21" w:rsidP="00B87E21">
            <w:pPr>
              <w:spacing w:before="1" w:after="0" w:line="276" w:lineRule="auto"/>
              <w:ind w:left="425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87E2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B87E2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B87E2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proofErr w:type="gram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D1703E5" w14:textId="77777777" w:rsidR="00B87E21" w:rsidRPr="00B87E21" w:rsidRDefault="00B87E21" w:rsidP="00B87E21">
            <w:pPr>
              <w:spacing w:before="1" w:after="0" w:line="276" w:lineRule="auto"/>
              <w:ind w:left="708" w:right="64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B87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7E2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56FD3F2F" w14:textId="77777777" w:rsidR="00B87E21" w:rsidRPr="00B87E21" w:rsidRDefault="00B87E21" w:rsidP="00B87E21">
            <w:pPr>
              <w:spacing w:before="1" w:after="0" w:line="240" w:lineRule="auto"/>
              <w:ind w:left="425" w:right="147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B87E2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87E21" w:rsidRPr="00B87E21" w14:paraId="0C9207F8" w14:textId="77777777" w:rsidTr="00FE0026">
        <w:trPr>
          <w:trHeight w:hRule="exact" w:val="3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9550" w14:textId="77777777" w:rsidR="00B87E21" w:rsidRPr="00B87E21" w:rsidRDefault="00B87E21" w:rsidP="00B87E21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DE0D" w14:textId="77777777" w:rsidR="00B87E21" w:rsidRPr="00B87E21" w:rsidRDefault="00B87E21" w:rsidP="00B87E2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7736" w14:textId="77777777" w:rsidR="00B87E21" w:rsidRPr="00B87E21" w:rsidRDefault="00B87E21" w:rsidP="00B87E2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B87E21" w:rsidRPr="00B87E21" w14:paraId="0B51C1E3" w14:textId="77777777" w:rsidTr="00FE0026">
        <w:trPr>
          <w:trHeight w:hRule="exact" w:val="52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7528" w14:textId="77777777" w:rsidR="00B87E21" w:rsidRPr="00B87E21" w:rsidRDefault="00B87E21" w:rsidP="00B87E21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64FC" w14:textId="77777777" w:rsidR="00B87E21" w:rsidRPr="00B87E21" w:rsidRDefault="00B87E21" w:rsidP="00B87E2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EF24" w14:textId="77777777" w:rsidR="00B87E21" w:rsidRPr="00B87E21" w:rsidRDefault="00B87E21" w:rsidP="00B87E2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</w:p>
          <w:p w14:paraId="58B3F884" w14:textId="77777777" w:rsidR="00B87E21" w:rsidRPr="00B87E21" w:rsidRDefault="00B87E21" w:rsidP="00B87E2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</w:p>
        </w:tc>
      </w:tr>
      <w:tr w:rsidR="00B87E21" w:rsidRPr="00B87E21" w14:paraId="78442775" w14:textId="77777777" w:rsidTr="00FE0026">
        <w:trPr>
          <w:trHeight w:hRule="exact" w:val="46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E473" w14:textId="77777777" w:rsidR="00B87E21" w:rsidRPr="00B87E21" w:rsidRDefault="00B87E21" w:rsidP="00B87E21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F874" w14:textId="77777777" w:rsidR="00B87E21" w:rsidRPr="00B87E21" w:rsidRDefault="00B87E21" w:rsidP="00B87E2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26F4A76" w14:textId="77777777" w:rsidR="00B87E21" w:rsidRPr="00B87E21" w:rsidRDefault="00B87E21" w:rsidP="00B87E2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8648" w14:textId="77777777" w:rsidR="00B87E21" w:rsidRPr="00B87E21" w:rsidRDefault="00B87E21" w:rsidP="00B87E21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87E2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Saran, 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3A9443E9" w14:textId="77777777" w:rsidR="00B87E21" w:rsidRPr="00B87E21" w:rsidRDefault="00B87E21" w:rsidP="00B87E21">
            <w:pPr>
              <w:spacing w:before="38" w:after="0" w:line="276" w:lineRule="auto"/>
              <w:ind w:left="823" w:right="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on line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5">
              <w:r w:rsidRPr="00B87E2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B87E21">
                <w:rPr>
                  <w:rFonts w:ascii="Bookman Old Style" w:eastAsia="Bookman Old Style" w:hAnsi="Bookman Old Style" w:cs="Bookman Old Style"/>
                  <w:i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B87E21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</w:t>
              </w:r>
            </w:hyperlink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email </w:t>
            </w:r>
            <w:hyperlink r:id="rId6">
              <w:r w:rsidRPr="00B87E2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  <w:p w14:paraId="64FE0D9F" w14:textId="77777777" w:rsidR="00B87E21" w:rsidRPr="00B87E21" w:rsidRDefault="00B87E21" w:rsidP="00B87E21">
            <w:pPr>
              <w:spacing w:before="1" w:after="0" w:line="276" w:lineRule="auto"/>
              <w:ind w:left="823" w:right="108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87E2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saran, 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via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 Bea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Kepatuhan Internal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 Pass -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B87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15D6DA6" w14:textId="77777777" w:rsidR="00B87E21" w:rsidRPr="00B87E21" w:rsidRDefault="00B87E21" w:rsidP="00B87E21">
            <w:pPr>
              <w:spacing w:before="12" w:after="0" w:line="272" w:lineRule="auto"/>
              <w:ind w:left="823" w:right="32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7E21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3.  </w:t>
            </w:r>
            <w:r w:rsidRPr="00B87E21">
              <w:rPr>
                <w:rFonts w:ascii="Calibri" w:eastAsia="Calibri" w:hAnsi="Calibri" w:cs="Calibri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saran, dan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di Unit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 masing unit </w:t>
            </w:r>
            <w:proofErr w:type="spellStart"/>
            <w:r w:rsidRPr="00B87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69AAAF82" w14:textId="77777777" w:rsidR="00B87E21" w:rsidRPr="00B87E21" w:rsidRDefault="00B87E21" w:rsidP="00B87E2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87E21" w:rsidRPr="00B87E21" w:rsidSect="00B87E21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7AC81CE5"/>
    <w:multiLevelType w:val="hybridMultilevel"/>
    <w:tmpl w:val="FE360240"/>
    <w:lvl w:ilvl="0" w:tplc="87E60BDA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3" w:hanging="360"/>
      </w:pPr>
    </w:lvl>
    <w:lvl w:ilvl="2" w:tplc="3809001B" w:tentative="1">
      <w:start w:val="1"/>
      <w:numFmt w:val="lowerRoman"/>
      <w:lvlText w:val="%3."/>
      <w:lvlJc w:val="right"/>
      <w:pPr>
        <w:ind w:left="2263" w:hanging="180"/>
      </w:pPr>
    </w:lvl>
    <w:lvl w:ilvl="3" w:tplc="3809000F" w:tentative="1">
      <w:start w:val="1"/>
      <w:numFmt w:val="decimal"/>
      <w:lvlText w:val="%4."/>
      <w:lvlJc w:val="left"/>
      <w:pPr>
        <w:ind w:left="2983" w:hanging="360"/>
      </w:pPr>
    </w:lvl>
    <w:lvl w:ilvl="4" w:tplc="38090019" w:tentative="1">
      <w:start w:val="1"/>
      <w:numFmt w:val="lowerLetter"/>
      <w:lvlText w:val="%5."/>
      <w:lvlJc w:val="left"/>
      <w:pPr>
        <w:ind w:left="3703" w:hanging="360"/>
      </w:pPr>
    </w:lvl>
    <w:lvl w:ilvl="5" w:tplc="3809001B" w:tentative="1">
      <w:start w:val="1"/>
      <w:numFmt w:val="lowerRoman"/>
      <w:lvlText w:val="%6."/>
      <w:lvlJc w:val="right"/>
      <w:pPr>
        <w:ind w:left="4423" w:hanging="180"/>
      </w:pPr>
    </w:lvl>
    <w:lvl w:ilvl="6" w:tplc="3809000F" w:tentative="1">
      <w:start w:val="1"/>
      <w:numFmt w:val="decimal"/>
      <w:lvlText w:val="%7."/>
      <w:lvlJc w:val="left"/>
      <w:pPr>
        <w:ind w:left="5143" w:hanging="360"/>
      </w:pPr>
    </w:lvl>
    <w:lvl w:ilvl="7" w:tplc="38090019" w:tentative="1">
      <w:start w:val="1"/>
      <w:numFmt w:val="lowerLetter"/>
      <w:lvlText w:val="%8."/>
      <w:lvlJc w:val="left"/>
      <w:pPr>
        <w:ind w:left="5863" w:hanging="360"/>
      </w:pPr>
    </w:lvl>
    <w:lvl w:ilvl="8" w:tplc="3809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1819375586">
    <w:abstractNumId w:val="0"/>
  </w:num>
  <w:num w:numId="2" w16cid:durableId="116243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260E7"/>
    <w:rsid w:val="0013423A"/>
    <w:rsid w:val="001732ED"/>
    <w:rsid w:val="00181C46"/>
    <w:rsid w:val="001978A5"/>
    <w:rsid w:val="001A0E32"/>
    <w:rsid w:val="001A5B09"/>
    <w:rsid w:val="001B3667"/>
    <w:rsid w:val="001C3382"/>
    <w:rsid w:val="001C6802"/>
    <w:rsid w:val="0022328E"/>
    <w:rsid w:val="00244E2A"/>
    <w:rsid w:val="002A5D64"/>
    <w:rsid w:val="002F1D68"/>
    <w:rsid w:val="0030689F"/>
    <w:rsid w:val="00337D98"/>
    <w:rsid w:val="00371CB6"/>
    <w:rsid w:val="003C2C1B"/>
    <w:rsid w:val="003F514A"/>
    <w:rsid w:val="00482F82"/>
    <w:rsid w:val="00491903"/>
    <w:rsid w:val="004B12DF"/>
    <w:rsid w:val="004B7051"/>
    <w:rsid w:val="004C13DA"/>
    <w:rsid w:val="00514049"/>
    <w:rsid w:val="00532411"/>
    <w:rsid w:val="00535779"/>
    <w:rsid w:val="00545573"/>
    <w:rsid w:val="00562D3E"/>
    <w:rsid w:val="00567480"/>
    <w:rsid w:val="00584011"/>
    <w:rsid w:val="0058717F"/>
    <w:rsid w:val="0058722E"/>
    <w:rsid w:val="00587E98"/>
    <w:rsid w:val="00594D2E"/>
    <w:rsid w:val="005A1EFD"/>
    <w:rsid w:val="005B0D17"/>
    <w:rsid w:val="005C15DD"/>
    <w:rsid w:val="005C3A70"/>
    <w:rsid w:val="005E042D"/>
    <w:rsid w:val="006055FB"/>
    <w:rsid w:val="00640919"/>
    <w:rsid w:val="0065046C"/>
    <w:rsid w:val="006615A9"/>
    <w:rsid w:val="006936FF"/>
    <w:rsid w:val="006B0738"/>
    <w:rsid w:val="006D643C"/>
    <w:rsid w:val="006F4E3B"/>
    <w:rsid w:val="00711B2D"/>
    <w:rsid w:val="00747E27"/>
    <w:rsid w:val="007B1A80"/>
    <w:rsid w:val="007F28A8"/>
    <w:rsid w:val="00823C27"/>
    <w:rsid w:val="0082599F"/>
    <w:rsid w:val="0082761E"/>
    <w:rsid w:val="00831686"/>
    <w:rsid w:val="0086299C"/>
    <w:rsid w:val="00864BB1"/>
    <w:rsid w:val="008736CC"/>
    <w:rsid w:val="008A6243"/>
    <w:rsid w:val="008C0B43"/>
    <w:rsid w:val="008C44EC"/>
    <w:rsid w:val="008D7367"/>
    <w:rsid w:val="00923091"/>
    <w:rsid w:val="00986989"/>
    <w:rsid w:val="00994DD2"/>
    <w:rsid w:val="00994F6A"/>
    <w:rsid w:val="00996A3E"/>
    <w:rsid w:val="00A67FB0"/>
    <w:rsid w:val="00A7211B"/>
    <w:rsid w:val="00A83FA0"/>
    <w:rsid w:val="00A94A5A"/>
    <w:rsid w:val="00AD5AEE"/>
    <w:rsid w:val="00AE2DCD"/>
    <w:rsid w:val="00B1381C"/>
    <w:rsid w:val="00B36A0E"/>
    <w:rsid w:val="00B46B19"/>
    <w:rsid w:val="00B5065D"/>
    <w:rsid w:val="00B822F0"/>
    <w:rsid w:val="00B87E21"/>
    <w:rsid w:val="00BD096B"/>
    <w:rsid w:val="00BE7016"/>
    <w:rsid w:val="00C029F8"/>
    <w:rsid w:val="00C20759"/>
    <w:rsid w:val="00CA50B9"/>
    <w:rsid w:val="00CB5CDD"/>
    <w:rsid w:val="00CC21E5"/>
    <w:rsid w:val="00CE18D5"/>
    <w:rsid w:val="00CF0286"/>
    <w:rsid w:val="00D33103"/>
    <w:rsid w:val="00DB70DF"/>
    <w:rsid w:val="00DD7E5D"/>
    <w:rsid w:val="00DE45E1"/>
    <w:rsid w:val="00DE65A2"/>
    <w:rsid w:val="00E11E6C"/>
    <w:rsid w:val="00E2452F"/>
    <w:rsid w:val="00E25352"/>
    <w:rsid w:val="00E72561"/>
    <w:rsid w:val="00E87C1D"/>
    <w:rsid w:val="00E9393C"/>
    <w:rsid w:val="00EC6B17"/>
    <w:rsid w:val="00ED3C52"/>
    <w:rsid w:val="00ED6E22"/>
    <w:rsid w:val="00F162A2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2025-07-14T03:19:00Z</dcterms:created>
  <dcterms:modified xsi:type="dcterms:W3CDTF">2025-07-29T09:08:00Z</dcterms:modified>
</cp:coreProperties>
</file>