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687346F0" w:rsidR="007C7AE3" w:rsidRPr="001C59B2" w:rsidRDefault="005A1EFD" w:rsidP="00CA3F3F">
      <w:pPr>
        <w:spacing w:before="29" w:after="0"/>
        <w:rPr>
          <w:rFonts w:ascii="Arial" w:eastAsia="Bookman Old Style" w:hAnsi="Arial" w:cs="Arial"/>
          <w:bCs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r w:rsidR="001C59B2" w:rsidRPr="001C59B2">
        <w:rPr>
          <w:rFonts w:ascii="Arial" w:eastAsia="Bookman Old Style" w:hAnsi="Arial" w:cs="Arial"/>
          <w:bCs/>
        </w:rPr>
        <w:t>Pelayanan</w:t>
      </w:r>
      <w:proofErr w:type="spellEnd"/>
      <w:r w:rsidR="001C59B2" w:rsidRPr="001C59B2">
        <w:rPr>
          <w:rFonts w:ascii="Arial" w:eastAsia="Bookman Old Style" w:hAnsi="Arial" w:cs="Arial"/>
          <w:bCs/>
        </w:rPr>
        <w:t xml:space="preserve"> </w:t>
      </w:r>
      <w:proofErr w:type="spellStart"/>
      <w:r w:rsidR="001C59B2" w:rsidRPr="001C59B2">
        <w:rPr>
          <w:rFonts w:ascii="Arial" w:eastAsia="Bookman Old Style" w:hAnsi="Arial" w:cs="Arial"/>
          <w:bCs/>
        </w:rPr>
        <w:t>Permohonan</w:t>
      </w:r>
      <w:proofErr w:type="spellEnd"/>
      <w:r w:rsidR="001C59B2" w:rsidRPr="001C59B2">
        <w:rPr>
          <w:rFonts w:ascii="Arial" w:eastAsia="Bookman Old Style" w:hAnsi="Arial" w:cs="Arial"/>
          <w:bCs/>
        </w:rPr>
        <w:t xml:space="preserve"> </w:t>
      </w:r>
      <w:proofErr w:type="spellStart"/>
      <w:r w:rsidR="001C59B2" w:rsidRPr="001C59B2">
        <w:rPr>
          <w:rFonts w:ascii="Arial" w:eastAsia="Bookman Old Style" w:hAnsi="Arial" w:cs="Arial"/>
          <w:bCs/>
        </w:rPr>
        <w:t>Pembukaan</w:t>
      </w:r>
      <w:proofErr w:type="spellEnd"/>
      <w:r w:rsidR="001C59B2" w:rsidRPr="001C59B2">
        <w:rPr>
          <w:rFonts w:ascii="Arial" w:eastAsia="Bookman Old Style" w:hAnsi="Arial" w:cs="Arial"/>
          <w:bCs/>
        </w:rPr>
        <w:t xml:space="preserve"> </w:t>
      </w:r>
      <w:proofErr w:type="spellStart"/>
      <w:r w:rsidR="001C59B2" w:rsidRPr="001C59B2">
        <w:rPr>
          <w:rFonts w:ascii="Arial" w:eastAsia="Bookman Old Style" w:hAnsi="Arial" w:cs="Arial"/>
          <w:bCs/>
        </w:rPr>
        <w:t>Pos</w:t>
      </w:r>
      <w:proofErr w:type="spellEnd"/>
      <w:r w:rsidR="001C59B2" w:rsidRPr="001C59B2">
        <w:rPr>
          <w:rFonts w:ascii="Arial" w:eastAsia="Bookman Old Style" w:hAnsi="Arial" w:cs="Arial"/>
          <w:bCs/>
        </w:rPr>
        <w:t xml:space="preserve"> </w:t>
      </w:r>
      <w:proofErr w:type="spellStart"/>
      <w:r w:rsidR="001C59B2" w:rsidRPr="001C59B2">
        <w:rPr>
          <w:rFonts w:ascii="Arial" w:eastAsia="Bookman Old Style" w:hAnsi="Arial" w:cs="Arial"/>
          <w:bCs/>
        </w:rPr>
        <w:t>Manifes</w:t>
      </w:r>
      <w:proofErr w:type="spellEnd"/>
      <w:r w:rsidR="001C59B2" w:rsidRPr="001C59B2">
        <w:rPr>
          <w:rFonts w:ascii="Arial" w:eastAsia="Bookman Old Style" w:hAnsi="Arial" w:cs="Arial"/>
          <w:bCs/>
        </w:rPr>
        <w:t xml:space="preserve"> </w:t>
      </w:r>
      <w:proofErr w:type="spellStart"/>
      <w:r w:rsidR="001C59B2" w:rsidRPr="001C59B2">
        <w:rPr>
          <w:rFonts w:ascii="Arial" w:eastAsia="Bookman Old Style" w:hAnsi="Arial" w:cs="Arial"/>
          <w:bCs/>
        </w:rPr>
        <w:t>atas</w:t>
      </w:r>
      <w:proofErr w:type="spellEnd"/>
      <w:r w:rsidR="001C59B2" w:rsidRPr="001C59B2">
        <w:rPr>
          <w:rFonts w:ascii="Arial" w:eastAsia="Bookman Old Style" w:hAnsi="Arial" w:cs="Arial"/>
          <w:bCs/>
        </w:rPr>
        <w:t xml:space="preserve"> BTD (BCF 1.5) yang </w:t>
      </w:r>
      <w:proofErr w:type="spellStart"/>
      <w:r w:rsidR="001C59B2" w:rsidRPr="001C59B2">
        <w:rPr>
          <w:rFonts w:ascii="Arial" w:eastAsia="Bookman Old Style" w:hAnsi="Arial" w:cs="Arial"/>
          <w:bCs/>
        </w:rPr>
        <w:t>akan</w:t>
      </w:r>
      <w:proofErr w:type="spellEnd"/>
      <w:r w:rsidR="001C59B2" w:rsidRPr="001C59B2">
        <w:rPr>
          <w:rFonts w:ascii="Arial" w:eastAsia="Bookman Old Style" w:hAnsi="Arial" w:cs="Arial"/>
          <w:bCs/>
        </w:rPr>
        <w:t xml:space="preserve"> </w:t>
      </w:r>
      <w:proofErr w:type="spellStart"/>
      <w:r w:rsidR="001C59B2" w:rsidRPr="001C59B2">
        <w:rPr>
          <w:rFonts w:ascii="Arial" w:eastAsia="Bookman Old Style" w:hAnsi="Arial" w:cs="Arial"/>
          <w:bCs/>
        </w:rPr>
        <w:t>diselesaikan</w:t>
      </w:r>
      <w:proofErr w:type="spellEnd"/>
      <w:r w:rsidR="001C59B2" w:rsidRPr="001C59B2">
        <w:rPr>
          <w:rFonts w:ascii="Arial" w:eastAsia="Bookman Old Style" w:hAnsi="Arial" w:cs="Arial"/>
          <w:bCs/>
        </w:rPr>
        <w:t xml:space="preserve"> </w:t>
      </w:r>
      <w:proofErr w:type="spellStart"/>
      <w:r w:rsidR="001C59B2" w:rsidRPr="001C59B2">
        <w:rPr>
          <w:rFonts w:ascii="Arial" w:eastAsia="Bookman Old Style" w:hAnsi="Arial" w:cs="Arial"/>
          <w:bCs/>
        </w:rPr>
        <w:t>kewajiban</w:t>
      </w:r>
      <w:proofErr w:type="spellEnd"/>
      <w:r w:rsidR="001C59B2" w:rsidRPr="001C59B2">
        <w:rPr>
          <w:rFonts w:ascii="Arial" w:eastAsia="Bookman Old Style" w:hAnsi="Arial" w:cs="Arial"/>
          <w:bCs/>
        </w:rPr>
        <w:t xml:space="preserve"> </w:t>
      </w:r>
      <w:proofErr w:type="spellStart"/>
      <w:r w:rsidR="001C59B2" w:rsidRPr="001C59B2">
        <w:rPr>
          <w:rFonts w:ascii="Arial" w:eastAsia="Bookman Old Style" w:hAnsi="Arial" w:cs="Arial"/>
          <w:bCs/>
        </w:rPr>
        <w:t>pabeannya</w:t>
      </w:r>
      <w:proofErr w:type="spellEnd"/>
    </w:p>
    <w:p w14:paraId="5049AFA5" w14:textId="0AF3AB5B" w:rsidR="005A1EFD" w:rsidRPr="001C59B2" w:rsidRDefault="005A1EFD" w:rsidP="00CA3F3F">
      <w:pPr>
        <w:spacing w:before="29" w:after="0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707B0D62" w:rsidR="005A1EFD" w:rsidRPr="00FD3B03" w:rsidRDefault="005A1EFD" w:rsidP="007C7AE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1C59B2">
        <w:rPr>
          <w:rFonts w:ascii="Arial" w:hAnsi="Arial" w:cs="Arial"/>
        </w:rPr>
        <w:t>9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21"/>
        <w:gridCol w:w="7100"/>
      </w:tblGrid>
      <w:tr w:rsidR="001C59B2" w:rsidRPr="001C59B2" w14:paraId="380412CF" w14:textId="77777777" w:rsidTr="001C59B2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0E86" w14:textId="77777777" w:rsidR="001C59B2" w:rsidRPr="001C59B2" w:rsidRDefault="001C59B2" w:rsidP="001C59B2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1F7F" w14:textId="77777777" w:rsidR="001C59B2" w:rsidRPr="001C59B2" w:rsidRDefault="001C59B2" w:rsidP="001C59B2">
            <w:pPr>
              <w:spacing w:after="0" w:line="240" w:lineRule="exact"/>
              <w:ind w:left="2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0583" w14:textId="77777777" w:rsidR="001C59B2" w:rsidRPr="001C59B2" w:rsidRDefault="001C59B2" w:rsidP="001C59B2">
            <w:pPr>
              <w:spacing w:after="0" w:line="240" w:lineRule="exact"/>
              <w:ind w:left="2986" w:right="32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1C59B2" w:rsidRPr="001C59B2" w14:paraId="16354801" w14:textId="77777777" w:rsidTr="001C59B2">
        <w:trPr>
          <w:trHeight w:hRule="exact" w:val="853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6D17" w14:textId="77777777" w:rsidR="001C59B2" w:rsidRPr="001C59B2" w:rsidRDefault="001C59B2" w:rsidP="001C59B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C652" w14:textId="77777777" w:rsidR="001C59B2" w:rsidRPr="001C59B2" w:rsidRDefault="001C59B2" w:rsidP="001C59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0BD8361F" w14:textId="77777777" w:rsidR="001C59B2" w:rsidRPr="001C59B2" w:rsidRDefault="001C59B2" w:rsidP="001C59B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002F" w14:textId="77777777" w:rsidR="001C59B2" w:rsidRPr="001C59B2" w:rsidRDefault="001C59B2" w:rsidP="001C59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C59B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</w:t>
            </w:r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Dinyatakan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(BTD)</w:t>
            </w:r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90AEE7E" w14:textId="7499B131" w:rsidR="001C59B2" w:rsidRPr="000218D6" w:rsidRDefault="000218D6" w:rsidP="000218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arang</w:t>
            </w:r>
            <w:proofErr w:type="spellEnd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ditimbun</w:t>
            </w:r>
            <w:proofErr w:type="spellEnd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TPS yang </w:t>
            </w:r>
            <w:proofErr w:type="spellStart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melebihi</w:t>
            </w:r>
            <w:proofErr w:type="spellEnd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 (</w:t>
            </w:r>
            <w:proofErr w:type="spellStart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penimbunanny</w:t>
            </w:r>
            <w:r w:rsidR="001C59B2" w:rsidRPr="000218D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="001C59B2"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36C3A4D" w14:textId="4D6E9D4F" w:rsidR="001C59B2" w:rsidRPr="000218D6" w:rsidRDefault="001C59B2" w:rsidP="000218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0218D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dicabut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izinnya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 (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</w:t>
            </w:r>
            <w:r w:rsidRPr="000218D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277DB2B0" w14:textId="77777777" w:rsidR="000218D6" w:rsidRDefault="001C59B2" w:rsidP="000218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18D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18D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dikirim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18D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18D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18D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 </w:t>
            </w:r>
            <w:r w:rsidRPr="000218D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6373659C" w14:textId="4A9DEC43" w:rsidR="001C59B2" w:rsidRPr="000218D6" w:rsidRDefault="001C59B2" w:rsidP="000218D6">
            <w:pPr>
              <w:pStyle w:val="ListParagraph"/>
              <w:spacing w:after="0" w:line="240" w:lineRule="auto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</w:t>
            </w:r>
            <w:r w:rsidRPr="000218D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0218D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D0DF2ED" w14:textId="691D2490" w:rsidR="001C59B2" w:rsidRPr="00503B45" w:rsidRDefault="001C59B2" w:rsidP="00503B45">
            <w:pPr>
              <w:pStyle w:val="ListParagraph"/>
              <w:numPr>
                <w:ilvl w:val="0"/>
                <w:numId w:val="5"/>
              </w:numPr>
              <w:tabs>
                <w:tab w:val="left" w:pos="1160"/>
              </w:tabs>
              <w:spacing w:before="6" w:after="0" w:line="240" w:lineRule="auto"/>
              <w:ind w:left="1069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03B4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503B4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orang</w:t>
            </w:r>
            <w:r w:rsidRPr="00503B4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03B4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dituju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dikirim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pengirim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Daerah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B2D6575" w14:textId="45E5BF0E" w:rsidR="001C59B2" w:rsidRPr="00503B45" w:rsidRDefault="001C59B2" w:rsidP="00503B45">
            <w:pPr>
              <w:pStyle w:val="ListParagraph"/>
              <w:numPr>
                <w:ilvl w:val="0"/>
                <w:numId w:val="5"/>
              </w:numPr>
              <w:tabs>
                <w:tab w:val="left" w:pos="1160"/>
              </w:tabs>
              <w:spacing w:before="5" w:after="0" w:line="240" w:lineRule="auto"/>
              <w:ind w:left="1069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proofErr w:type="spellEnd"/>
            <w:proofErr w:type="gram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Daerah </w:t>
            </w:r>
            <w:r w:rsidRPr="00503B4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503B4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karena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03B4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dituju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03B4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diselesaikan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pengirim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30 (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Pos yang </w:t>
            </w:r>
            <w:proofErr w:type="spellStart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</w:t>
            </w:r>
            <w:r w:rsidRPr="00503B4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503B4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79A20E8" w14:textId="77777777" w:rsidR="001C59B2" w:rsidRPr="001C59B2" w:rsidRDefault="001C59B2" w:rsidP="001C59B2">
            <w:pPr>
              <w:tabs>
                <w:tab w:val="left" w:pos="1420"/>
              </w:tabs>
              <w:spacing w:after="0" w:line="240" w:lineRule="auto"/>
              <w:ind w:left="4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C59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BCF</w:t>
            </w:r>
            <w:r w:rsidRPr="001C59B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1.5</w:t>
            </w:r>
            <w:r w:rsidRPr="001C59B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1C59B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C59B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dinyatakan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1C59B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</w:t>
            </w:r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EED313C" w14:textId="77777777" w:rsidR="001C59B2" w:rsidRPr="001C59B2" w:rsidRDefault="001C59B2" w:rsidP="001C59B2">
            <w:pPr>
              <w:spacing w:after="0" w:line="240" w:lineRule="auto"/>
              <w:ind w:left="5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C59B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1C59B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1C59B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3C86932E" w14:textId="77777777" w:rsidR="001C59B2" w:rsidRPr="001C59B2" w:rsidRDefault="001C59B2" w:rsidP="001C59B2">
            <w:pPr>
              <w:spacing w:after="0" w:line="240" w:lineRule="auto"/>
              <w:ind w:left="8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Akan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Menyelesaikan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1C91106" w14:textId="77777777" w:rsidR="001C59B2" w:rsidRPr="001C59B2" w:rsidRDefault="001C59B2" w:rsidP="001C59B2">
            <w:pPr>
              <w:spacing w:after="0" w:line="240" w:lineRule="auto"/>
              <w:ind w:left="5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C59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PIB/  </w:t>
            </w:r>
            <w:r w:rsidRPr="001C59B2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PIBK/Surat  </w:t>
            </w:r>
            <w:r w:rsidRPr="001C59B2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Re-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        </w:t>
            </w:r>
            <w:r w:rsidRPr="001C59B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699EC754" w14:textId="77777777" w:rsidR="001C59B2" w:rsidRPr="001C59B2" w:rsidRDefault="001C59B2" w:rsidP="001C59B2">
            <w:pPr>
              <w:spacing w:after="0" w:line="240" w:lineRule="auto"/>
              <w:ind w:left="848" w:right="31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2.3/Surat</w:t>
            </w:r>
            <w:r w:rsidRPr="001C59B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C59B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</w:t>
            </w:r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1C59B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Returnable</w:t>
            </w:r>
            <w:r w:rsidRPr="001C59B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Package;</w:t>
            </w:r>
          </w:p>
          <w:p w14:paraId="0B51CB8B" w14:textId="77777777" w:rsidR="001C59B2" w:rsidRPr="001C59B2" w:rsidRDefault="001C59B2" w:rsidP="001C59B2">
            <w:pPr>
              <w:tabs>
                <w:tab w:val="left" w:pos="2440"/>
              </w:tabs>
              <w:spacing w:after="0" w:line="240" w:lineRule="auto"/>
              <w:ind w:left="88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proofErr w:type="gram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proofErr w:type="gram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Re-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Booking Confirmation</w:t>
            </w:r>
            <w:r w:rsidRPr="001C59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Shipping Instruction;</w:t>
            </w:r>
          </w:p>
          <w:p w14:paraId="5BFA47CB" w14:textId="77777777" w:rsidR="001C59B2" w:rsidRPr="001C59B2" w:rsidRDefault="001C59B2" w:rsidP="001C59B2">
            <w:pPr>
              <w:spacing w:after="0" w:line="240" w:lineRule="auto"/>
              <w:ind w:left="5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1C59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Bukti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Pungutan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Negara;</w:t>
            </w:r>
          </w:p>
          <w:p w14:paraId="2BA12EB5" w14:textId="77777777" w:rsidR="001C59B2" w:rsidRPr="001C59B2" w:rsidRDefault="001C59B2" w:rsidP="001C59B2">
            <w:pPr>
              <w:spacing w:after="0" w:line="240" w:lineRule="auto"/>
              <w:ind w:left="5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1C59B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Invoice;</w:t>
            </w:r>
          </w:p>
          <w:p w14:paraId="6189A82C" w14:textId="77777777" w:rsidR="001C59B2" w:rsidRPr="001C59B2" w:rsidRDefault="001C59B2" w:rsidP="001C59B2">
            <w:pPr>
              <w:spacing w:after="0" w:line="240" w:lineRule="auto"/>
              <w:ind w:left="5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1C59B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Redress Manifest</w:t>
            </w:r>
            <w:r w:rsidRPr="001C59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90598B1" w14:textId="77777777" w:rsidR="001C59B2" w:rsidRPr="001C59B2" w:rsidRDefault="001C59B2" w:rsidP="001C59B2">
            <w:pPr>
              <w:spacing w:after="0" w:line="240" w:lineRule="auto"/>
              <w:ind w:left="5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1C59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Packing List;</w:t>
            </w:r>
          </w:p>
          <w:p w14:paraId="66BFB00A" w14:textId="77777777" w:rsidR="001C59B2" w:rsidRPr="001C59B2" w:rsidRDefault="001C59B2" w:rsidP="001C59B2">
            <w:pPr>
              <w:spacing w:after="0" w:line="240" w:lineRule="auto"/>
              <w:ind w:left="5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1C59B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Bill of Lading (B/L)</w:t>
            </w:r>
            <w:r w:rsidRPr="001C59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Air Way Bill (AWB);</w:t>
            </w:r>
          </w:p>
          <w:p w14:paraId="62D165A5" w14:textId="77777777" w:rsidR="001C59B2" w:rsidRPr="001C59B2" w:rsidRDefault="001C59B2" w:rsidP="001C59B2">
            <w:pPr>
              <w:spacing w:after="0" w:line="240" w:lineRule="auto"/>
              <w:ind w:left="5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1C59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Kuasa</w:t>
            </w:r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  <w:tr w:rsidR="001C59B2" w:rsidRPr="001C59B2" w14:paraId="6F0C65C3" w14:textId="77777777" w:rsidTr="001C59B2">
        <w:trPr>
          <w:trHeight w:hRule="exact" w:val="466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18C5" w14:textId="77777777" w:rsidR="001C59B2" w:rsidRPr="001C59B2" w:rsidRDefault="001C59B2" w:rsidP="001C59B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FF34" w14:textId="77777777" w:rsidR="001C59B2" w:rsidRPr="001C59B2" w:rsidRDefault="001C59B2" w:rsidP="001C59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19D4C3B" w14:textId="77777777" w:rsidR="001C59B2" w:rsidRPr="001C59B2" w:rsidRDefault="001C59B2" w:rsidP="001C59B2">
            <w:pPr>
              <w:spacing w:after="0" w:line="240" w:lineRule="auto"/>
              <w:ind w:left="103" w:right="1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1AD9" w14:textId="77777777" w:rsidR="001C59B2" w:rsidRPr="001C59B2" w:rsidRDefault="001C59B2" w:rsidP="001C59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C59B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pembukaan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</w:p>
          <w:p w14:paraId="3C4CBF24" w14:textId="77777777" w:rsidR="001C59B2" w:rsidRPr="001C59B2" w:rsidRDefault="001C59B2" w:rsidP="001C59B2">
            <w:pPr>
              <w:spacing w:after="0" w:line="240" w:lineRule="auto"/>
              <w:ind w:left="458" w:right="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1.1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terdaftar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(BCF 1.5)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Portal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4D91EB" w14:textId="77777777" w:rsidR="001C59B2" w:rsidRPr="001C59B2" w:rsidRDefault="001C59B2" w:rsidP="001C59B2">
            <w:pPr>
              <w:tabs>
                <w:tab w:val="left" w:pos="1880"/>
                <w:tab w:val="left" w:pos="2060"/>
              </w:tabs>
              <w:spacing w:before="3" w:after="0" w:line="240" w:lineRule="auto"/>
              <w:ind w:left="458" w:right="130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pembukaan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1C59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mendekati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60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berada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1C59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1C59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1C59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status  </w:t>
            </w:r>
            <w:r w:rsidRPr="001C59B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terlebih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59B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dahulu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5E3D19E" w14:textId="77777777" w:rsidR="001C59B2" w:rsidRPr="001C59B2" w:rsidRDefault="001C59B2" w:rsidP="001C59B2">
            <w:pPr>
              <w:spacing w:after="0" w:line="240" w:lineRule="auto"/>
              <w:ind w:left="458" w:right="131" w:hanging="3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C59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59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</w:t>
            </w:r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FED6DCC" w14:textId="77777777" w:rsidR="001C59B2" w:rsidRPr="001C59B2" w:rsidRDefault="001C59B2" w:rsidP="001C59B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1C59B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299E4F4" w14:textId="77777777" w:rsidR="001C59B2" w:rsidRPr="001C59B2" w:rsidRDefault="001C59B2" w:rsidP="001C59B2">
            <w:pPr>
              <w:spacing w:after="0" w:line="240" w:lineRule="auto"/>
              <w:ind w:left="458" w:right="1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1C59B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NHI,</w:t>
            </w:r>
            <w:r w:rsidRPr="001C59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Bloki</w:t>
            </w:r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C59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Segel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C59B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</w:p>
          <w:p w14:paraId="24F1472C" w14:textId="77777777" w:rsidR="001C59B2" w:rsidRPr="001C59B2" w:rsidRDefault="001C59B2" w:rsidP="001C59B2">
            <w:pPr>
              <w:spacing w:after="0" w:line="240" w:lineRule="auto"/>
              <w:ind w:left="705" w:right="60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</w:t>
            </w:r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44375A" w14:textId="77777777" w:rsidR="001C59B2" w:rsidRPr="001C59B2" w:rsidRDefault="001C59B2" w:rsidP="001C59B2">
            <w:pPr>
              <w:spacing w:after="0" w:line="240" w:lineRule="auto"/>
              <w:ind w:left="742" w:right="130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NHI,</w:t>
            </w:r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Bloki</w:t>
            </w:r>
            <w:r w:rsidRPr="001C59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C59B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Segel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pembukaan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pos dan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subpos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 1.1.</w:t>
            </w:r>
          </w:p>
        </w:tc>
      </w:tr>
      <w:tr w:rsidR="001C59B2" w:rsidRPr="001C59B2" w14:paraId="29BD264A" w14:textId="77777777" w:rsidTr="001C59B2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E386" w14:textId="77777777" w:rsidR="001C59B2" w:rsidRPr="001C59B2" w:rsidRDefault="001C59B2" w:rsidP="001C59B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64EB" w14:textId="77777777" w:rsidR="001C59B2" w:rsidRPr="001C59B2" w:rsidRDefault="001C59B2" w:rsidP="001C59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3B857206" w14:textId="77777777" w:rsidR="001C59B2" w:rsidRPr="001C59B2" w:rsidRDefault="001C59B2" w:rsidP="001C59B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09742454" w14:textId="77777777" w:rsidR="001C59B2" w:rsidRPr="001C59B2" w:rsidRDefault="001C59B2" w:rsidP="001C59B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5D51" w14:textId="77777777" w:rsidR="001C59B2" w:rsidRPr="001C59B2" w:rsidRDefault="001C59B2" w:rsidP="001C59B2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C59B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1C59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pembukaan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</w:p>
          <w:p w14:paraId="3AE2CC1C" w14:textId="77777777" w:rsidR="001C59B2" w:rsidRPr="001C59B2" w:rsidRDefault="001C59B2" w:rsidP="001C59B2">
            <w:pPr>
              <w:spacing w:after="0" w:line="240" w:lineRule="auto"/>
              <w:ind w:left="45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C59B2" w14:paraId="09CF2969" w14:textId="77777777" w:rsidTr="001C59B2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E47D" w14:textId="77777777" w:rsidR="001C59B2" w:rsidRPr="001C59B2" w:rsidRDefault="001C59B2" w:rsidP="001C59B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5D42" w14:textId="77777777" w:rsidR="001C59B2" w:rsidRPr="001C59B2" w:rsidRDefault="001C59B2" w:rsidP="001C59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A29E" w14:textId="77777777" w:rsidR="001C59B2" w:rsidRPr="001C59B2" w:rsidRDefault="001C59B2" w:rsidP="001C59B2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Pembukaan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pos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lama 2 (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dua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  <w:p w14:paraId="2FD1419E" w14:textId="77777777" w:rsidR="001C59B2" w:rsidRPr="001C59B2" w:rsidRDefault="001C59B2" w:rsidP="001C59B2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C59B2" w14:paraId="21853BB4" w14:textId="77777777" w:rsidTr="001C59B2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60E8" w14:textId="77777777" w:rsidR="001C59B2" w:rsidRPr="001C59B2" w:rsidRDefault="001C59B2" w:rsidP="001C59B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9439" w14:textId="77777777" w:rsidR="001C59B2" w:rsidRPr="001C59B2" w:rsidRDefault="001C59B2" w:rsidP="001C59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36EE" w14:textId="77777777" w:rsidR="001C59B2" w:rsidRPr="001C59B2" w:rsidRDefault="001C59B2" w:rsidP="001C59B2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1C59B2" w14:paraId="74CF8A4F" w14:textId="77777777" w:rsidTr="001C59B2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29F5" w14:textId="77777777" w:rsidR="001C59B2" w:rsidRPr="001C59B2" w:rsidRDefault="001C59B2" w:rsidP="001C59B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D03" w14:textId="77777777" w:rsidR="001C59B2" w:rsidRPr="001C59B2" w:rsidRDefault="001C59B2" w:rsidP="001C59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1CA517A0" w14:textId="77777777" w:rsidR="001C59B2" w:rsidRPr="001C59B2" w:rsidRDefault="001C59B2" w:rsidP="001C59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D0F" w14:textId="77777777" w:rsidR="001C59B2" w:rsidRPr="001C59B2" w:rsidRDefault="001C59B2" w:rsidP="001C59B2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Pembukaan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Pos BC 1.1 (Inward Manifest).</w:t>
            </w:r>
          </w:p>
        </w:tc>
      </w:tr>
      <w:tr w:rsidR="001C59B2" w14:paraId="6AE5400F" w14:textId="77777777" w:rsidTr="00E6392B">
        <w:trPr>
          <w:trHeight w:hRule="exact" w:val="3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EBF0" w14:textId="77777777" w:rsidR="001C59B2" w:rsidRPr="001C59B2" w:rsidRDefault="001C59B2" w:rsidP="001C59B2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3E1E" w14:textId="77777777" w:rsidR="001C59B2" w:rsidRPr="001C59B2" w:rsidRDefault="001C59B2" w:rsidP="001C59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70A4B5E6" w14:textId="77777777" w:rsidR="001C59B2" w:rsidRPr="001C59B2" w:rsidRDefault="001C59B2" w:rsidP="001C59B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gram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dan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30D0" w14:textId="77777777" w:rsidR="001C59B2" w:rsidRPr="001C59B2" w:rsidRDefault="001C59B2" w:rsidP="001C59B2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proofErr w:type="gram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 Saran</w:t>
            </w:r>
            <w:proofErr w:type="gram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dan 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1BD489EF" w14:textId="77777777" w:rsidR="001C59B2" w:rsidRPr="001C59B2" w:rsidRDefault="001C59B2" w:rsidP="001C59B2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online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5">
              <w:r w:rsidRPr="001C59B2">
                <w:rPr>
                  <w:rStyle w:val="Hyperlink"/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 xml:space="preserve">http://www.beacukai.go.id/pengaduan.html atau ke e-mail  </w:t>
              </w:r>
            </w:hyperlink>
            <w:hyperlink r:id="rId6">
              <w:r w:rsidRPr="001C59B2">
                <w:rPr>
                  <w:rStyle w:val="Hyperlink"/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pengaduan.beacukai@customs.go.id</w:t>
              </w:r>
            </w:hyperlink>
          </w:p>
          <w:p w14:paraId="43BC5EBB" w14:textId="77777777" w:rsidR="001C59B2" w:rsidRPr="001C59B2" w:rsidRDefault="001C59B2" w:rsidP="001C59B2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saran, dan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via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 Bea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Pass -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 – 13230</w:t>
            </w:r>
          </w:p>
          <w:p w14:paraId="2C8AFBA9" w14:textId="77777777" w:rsidR="001C59B2" w:rsidRPr="001C59B2" w:rsidRDefault="001C59B2" w:rsidP="001C59B2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proofErr w:type="gram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saran,  dan 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di Unit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C59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6B087F42" w14:textId="77777777" w:rsidR="001C59B2" w:rsidRDefault="001C59B2" w:rsidP="005A1EFD"/>
    <w:p w14:paraId="512350DA" w14:textId="77777777" w:rsidR="007C7AE3" w:rsidRDefault="007C7AE3" w:rsidP="00CD59CC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sectPr w:rsidR="007C7AE3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81EE4"/>
    <w:rsid w:val="000E65C6"/>
    <w:rsid w:val="00161225"/>
    <w:rsid w:val="00191DF0"/>
    <w:rsid w:val="001A0E32"/>
    <w:rsid w:val="001C59B2"/>
    <w:rsid w:val="002F45AF"/>
    <w:rsid w:val="003C0CF3"/>
    <w:rsid w:val="004C13DA"/>
    <w:rsid w:val="00503B45"/>
    <w:rsid w:val="005A1EFD"/>
    <w:rsid w:val="006D643C"/>
    <w:rsid w:val="00711B2D"/>
    <w:rsid w:val="00764C70"/>
    <w:rsid w:val="00767994"/>
    <w:rsid w:val="007C7AE3"/>
    <w:rsid w:val="00831686"/>
    <w:rsid w:val="00C60D3E"/>
    <w:rsid w:val="00CA3F3F"/>
    <w:rsid w:val="00CD59CC"/>
    <w:rsid w:val="00E25352"/>
    <w:rsid w:val="00E6392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2025-07-10T04:43:00Z</dcterms:created>
  <dcterms:modified xsi:type="dcterms:W3CDTF">2025-07-29T09:01:00Z</dcterms:modified>
</cp:coreProperties>
</file>